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6F6F5" w14:textId="77777777" w:rsidR="000F182C" w:rsidRPr="00F31AA5" w:rsidRDefault="000F182C" w:rsidP="006B2585">
      <w:pPr>
        <w:pStyle w:val="Heading1"/>
        <w:spacing w:before="120"/>
        <w:jc w:val="right"/>
        <w:rPr>
          <w:sz w:val="22"/>
          <w:szCs w:val="22"/>
        </w:rPr>
      </w:pPr>
    </w:p>
    <w:p w14:paraId="692CE746" w14:textId="77777777" w:rsidR="00662F98" w:rsidRPr="00F31AA5" w:rsidRDefault="000F182C" w:rsidP="006B2585">
      <w:pPr>
        <w:pStyle w:val="Heading1"/>
        <w:spacing w:before="120"/>
        <w:rPr>
          <w:sz w:val="22"/>
          <w:szCs w:val="22"/>
        </w:rPr>
      </w:pPr>
      <w:r w:rsidRPr="00F31AA5">
        <w:rPr>
          <w:noProof/>
          <w:sz w:val="22"/>
          <w:szCs w:val="22"/>
        </w:rPr>
        <w:drawing>
          <wp:anchor distT="0" distB="0" distL="36195" distR="36195" simplePos="0" relativeHeight="251658240" behindDoc="1" locked="0" layoutInCell="1" allowOverlap="1" wp14:anchorId="6419B1EC" wp14:editId="48CBA265">
            <wp:simplePos x="0" y="0"/>
            <wp:positionH relativeFrom="column">
              <wp:align>right</wp:align>
            </wp:positionH>
            <wp:positionV relativeFrom="page">
              <wp:posOffset>676910</wp:posOffset>
            </wp:positionV>
            <wp:extent cx="2210400" cy="1076400"/>
            <wp:effectExtent l="0" t="0" r="0" b="0"/>
            <wp:wrapThrough wrapText="bothSides">
              <wp:wrapPolygon edited="0">
                <wp:start x="0" y="0"/>
                <wp:lineTo x="0" y="21027"/>
                <wp:lineTo x="21414" y="21027"/>
                <wp:lineTo x="21414" y="0"/>
                <wp:lineTo x="0" y="0"/>
              </wp:wrapPolygon>
            </wp:wrapThrough>
            <wp:docPr id="3" name="Picture 3" descr="Picture3.jpg"/>
            <wp:cNvGraphicFramePr/>
            <a:graphic xmlns:a="http://schemas.openxmlformats.org/drawingml/2006/main">
              <a:graphicData uri="http://schemas.openxmlformats.org/drawingml/2006/picture">
                <pic:pic xmlns:pic="http://schemas.openxmlformats.org/drawingml/2006/picture">
                  <pic:nvPicPr>
                    <pic:cNvPr id="3" name="Picture 3" descr="Picture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400" cy="1076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B15333" w14:textId="517E2CA7" w:rsidR="000901A1" w:rsidRPr="00F31AA5" w:rsidRDefault="006F08B6" w:rsidP="006B2585">
      <w:pPr>
        <w:pStyle w:val="Heading1"/>
        <w:spacing w:before="120"/>
        <w:ind w:left="2160" w:hanging="1026"/>
        <w:rPr>
          <w:rFonts w:asciiTheme="minorHAnsi" w:hAnsiTheme="minorHAnsi"/>
        </w:rPr>
      </w:pPr>
      <w:r w:rsidRPr="00F31AA5">
        <w:rPr>
          <w:rFonts w:asciiTheme="minorHAnsi" w:hAnsiTheme="minorHAnsi"/>
        </w:rPr>
        <w:t>Minutes</w:t>
      </w:r>
      <w:r w:rsidR="00F05471" w:rsidRPr="00F31AA5">
        <w:rPr>
          <w:rFonts w:asciiTheme="minorHAnsi" w:hAnsiTheme="minorHAnsi"/>
        </w:rPr>
        <w:t xml:space="preserve"> </w:t>
      </w:r>
    </w:p>
    <w:p w14:paraId="7FD1C582" w14:textId="77777777" w:rsidR="006F08B6" w:rsidRPr="00F31AA5" w:rsidRDefault="006F08B6" w:rsidP="006B2585">
      <w:pPr>
        <w:pStyle w:val="Heading1"/>
        <w:spacing w:before="120"/>
        <w:ind w:left="2160" w:hanging="1026"/>
        <w:rPr>
          <w:rFonts w:asciiTheme="minorHAnsi" w:hAnsiTheme="minorHAnsi"/>
        </w:rPr>
      </w:pPr>
      <w:r w:rsidRPr="00F31AA5">
        <w:rPr>
          <w:rFonts w:asciiTheme="minorHAnsi" w:hAnsiTheme="minorHAnsi"/>
        </w:rPr>
        <w:t>Stillbirth Clinical Studies Group</w:t>
      </w:r>
    </w:p>
    <w:p w14:paraId="2D930157" w14:textId="77F75011" w:rsidR="000901A1" w:rsidRPr="00F31AA5" w:rsidRDefault="001B1559" w:rsidP="00F31AA5">
      <w:pPr>
        <w:pStyle w:val="Heading1"/>
        <w:spacing w:before="120" w:after="240"/>
        <w:ind w:left="2160" w:hanging="1026"/>
        <w:rPr>
          <w:rFonts w:asciiTheme="minorHAnsi" w:hAnsiTheme="minorHAnsi"/>
        </w:rPr>
      </w:pPr>
      <w:r w:rsidRPr="00F31AA5">
        <w:rPr>
          <w:rFonts w:asciiTheme="minorHAnsi" w:hAnsiTheme="minorHAnsi"/>
        </w:rPr>
        <w:t>8</w:t>
      </w:r>
      <w:r w:rsidR="004F69DE" w:rsidRPr="00F31AA5">
        <w:rPr>
          <w:rFonts w:asciiTheme="minorHAnsi" w:hAnsiTheme="minorHAnsi"/>
        </w:rPr>
        <w:t xml:space="preserve"> </w:t>
      </w:r>
      <w:r w:rsidRPr="00F31AA5">
        <w:rPr>
          <w:rFonts w:asciiTheme="minorHAnsi" w:hAnsiTheme="minorHAnsi"/>
        </w:rPr>
        <w:t>June</w:t>
      </w:r>
      <w:r w:rsidR="000901A1" w:rsidRPr="00F31AA5">
        <w:rPr>
          <w:rFonts w:asciiTheme="minorHAnsi" w:hAnsiTheme="minorHAnsi"/>
        </w:rPr>
        <w:t xml:space="preserve"> 2016, </w:t>
      </w:r>
      <w:r w:rsidR="004F69DE" w:rsidRPr="00F31AA5">
        <w:rPr>
          <w:rFonts w:asciiTheme="minorHAnsi" w:hAnsiTheme="minorHAnsi"/>
        </w:rPr>
        <w:t>14:00–17:00</w:t>
      </w:r>
    </w:p>
    <w:p w14:paraId="7BA73CD8" w14:textId="50A4ADE7" w:rsidR="00EC4E4D" w:rsidRPr="00F31AA5" w:rsidRDefault="006F08B6" w:rsidP="006B2585">
      <w:pPr>
        <w:pStyle w:val="NoSpacing"/>
        <w:spacing w:before="120" w:line="276" w:lineRule="auto"/>
        <w:rPr>
          <w:rFonts w:asciiTheme="minorHAnsi" w:hAnsiTheme="minorHAnsi"/>
        </w:rPr>
      </w:pPr>
      <w:r w:rsidRPr="00F31AA5">
        <w:rPr>
          <w:rFonts w:asciiTheme="minorHAnsi" w:hAnsiTheme="minorHAnsi"/>
          <w:b/>
        </w:rPr>
        <w:t>Present</w:t>
      </w:r>
      <w:r w:rsidR="00E45691" w:rsidRPr="00F31AA5">
        <w:rPr>
          <w:rFonts w:asciiTheme="minorHAnsi" w:hAnsiTheme="minorHAnsi"/>
        </w:rPr>
        <w:t>: Gordon Smith</w:t>
      </w:r>
      <w:r w:rsidR="004F69DE" w:rsidRPr="00F31AA5">
        <w:rPr>
          <w:rFonts w:asciiTheme="minorHAnsi" w:hAnsiTheme="minorHAnsi"/>
        </w:rPr>
        <w:t xml:space="preserve"> (</w:t>
      </w:r>
      <w:r w:rsidR="00AA35F6" w:rsidRPr="00F31AA5">
        <w:rPr>
          <w:rFonts w:asciiTheme="minorHAnsi" w:hAnsiTheme="minorHAnsi"/>
        </w:rPr>
        <w:t xml:space="preserve">GS; </w:t>
      </w:r>
      <w:r w:rsidR="004F69DE" w:rsidRPr="00F31AA5">
        <w:rPr>
          <w:rFonts w:asciiTheme="minorHAnsi" w:hAnsiTheme="minorHAnsi"/>
        </w:rPr>
        <w:t xml:space="preserve">Chair); </w:t>
      </w:r>
      <w:r w:rsidR="001B1559" w:rsidRPr="00F31AA5">
        <w:rPr>
          <w:rFonts w:asciiTheme="minorHAnsi" w:hAnsiTheme="minorHAnsi"/>
        </w:rPr>
        <w:t xml:space="preserve">Sarah Stock (SS; incoming Chair); Peter Brocklehurst (PB); </w:t>
      </w:r>
      <w:r w:rsidR="00BC7844" w:rsidRPr="00F31AA5">
        <w:rPr>
          <w:rFonts w:asciiTheme="minorHAnsi" w:hAnsiTheme="minorHAnsi"/>
        </w:rPr>
        <w:br/>
      </w:r>
      <w:r w:rsidR="001B1559" w:rsidRPr="00F31AA5">
        <w:rPr>
          <w:rFonts w:asciiTheme="minorHAnsi" w:hAnsiTheme="minorHAnsi"/>
        </w:rPr>
        <w:t xml:space="preserve">Steve Charnock-Jones (SCJ); Alex Heazell (AHe, by phone); Hannah Knight (HK); Tracey Mills (TM, by phone), </w:t>
      </w:r>
      <w:r w:rsidR="00E45691" w:rsidRPr="00F31AA5">
        <w:rPr>
          <w:rFonts w:asciiTheme="minorHAnsi" w:hAnsiTheme="minorHAnsi"/>
        </w:rPr>
        <w:t>Jane Sandall</w:t>
      </w:r>
      <w:r w:rsidR="00AA35F6" w:rsidRPr="00F31AA5">
        <w:rPr>
          <w:rFonts w:asciiTheme="minorHAnsi" w:hAnsiTheme="minorHAnsi"/>
        </w:rPr>
        <w:t xml:space="preserve"> (J</w:t>
      </w:r>
      <w:r w:rsidR="006E174B" w:rsidRPr="00F31AA5">
        <w:rPr>
          <w:rFonts w:asciiTheme="minorHAnsi" w:hAnsiTheme="minorHAnsi"/>
        </w:rPr>
        <w:t>a</w:t>
      </w:r>
      <w:r w:rsidR="00AA35F6" w:rsidRPr="00F31AA5">
        <w:rPr>
          <w:rFonts w:asciiTheme="minorHAnsi" w:hAnsiTheme="minorHAnsi"/>
        </w:rPr>
        <w:t>S)</w:t>
      </w:r>
      <w:r w:rsidR="001B1559" w:rsidRPr="00F31AA5">
        <w:rPr>
          <w:rFonts w:asciiTheme="minorHAnsi" w:hAnsiTheme="minorHAnsi"/>
        </w:rPr>
        <w:t>;</w:t>
      </w:r>
      <w:r w:rsidR="00E45691" w:rsidRPr="00F31AA5">
        <w:rPr>
          <w:rFonts w:asciiTheme="minorHAnsi" w:hAnsiTheme="minorHAnsi"/>
        </w:rPr>
        <w:t xml:space="preserve"> </w:t>
      </w:r>
      <w:r w:rsidR="001B1559" w:rsidRPr="00F31AA5">
        <w:rPr>
          <w:rFonts w:asciiTheme="minorHAnsi" w:hAnsiTheme="minorHAnsi"/>
        </w:rPr>
        <w:t xml:space="preserve">Janet Scott (JSc); Jim Thornton (JT); </w:t>
      </w:r>
      <w:r w:rsidR="00CA4F64" w:rsidRPr="00F31AA5">
        <w:rPr>
          <w:rFonts w:asciiTheme="minorHAnsi" w:hAnsiTheme="minorHAnsi"/>
        </w:rPr>
        <w:t>and Laura Price (</w:t>
      </w:r>
      <w:r w:rsidR="001B1559" w:rsidRPr="00F31AA5">
        <w:rPr>
          <w:rFonts w:asciiTheme="minorHAnsi" w:hAnsiTheme="minorHAnsi"/>
        </w:rPr>
        <w:t>LP</w:t>
      </w:r>
      <w:r w:rsidR="00CA4F64" w:rsidRPr="00F31AA5">
        <w:rPr>
          <w:rFonts w:asciiTheme="minorHAnsi" w:hAnsiTheme="minorHAnsi"/>
        </w:rPr>
        <w:t xml:space="preserve">) </w:t>
      </w:r>
      <w:r w:rsidR="00BC7844" w:rsidRPr="00F31AA5">
        <w:rPr>
          <w:rFonts w:asciiTheme="minorHAnsi" w:hAnsiTheme="minorHAnsi"/>
        </w:rPr>
        <w:br/>
      </w:r>
      <w:r w:rsidR="00EC4E4D" w:rsidRPr="00F31AA5">
        <w:rPr>
          <w:rFonts w:asciiTheme="minorHAnsi" w:hAnsiTheme="minorHAnsi"/>
          <w:b/>
        </w:rPr>
        <w:t>Apologies:</w:t>
      </w:r>
      <w:r w:rsidR="00EC4E4D" w:rsidRPr="00F31AA5">
        <w:rPr>
          <w:rFonts w:asciiTheme="minorHAnsi" w:hAnsiTheme="minorHAnsi"/>
        </w:rPr>
        <w:t xml:space="preserve"> </w:t>
      </w:r>
      <w:r w:rsidR="001B1559" w:rsidRPr="00F31AA5">
        <w:rPr>
          <w:rFonts w:asciiTheme="minorHAnsi" w:hAnsiTheme="minorHAnsi"/>
        </w:rPr>
        <w:t xml:space="preserve">David Cromwell (DC); Alyson Hunter (AHu); Julia Sanders (JuS); Neil Sebire (NS); </w:t>
      </w:r>
      <w:r w:rsidR="00BC7844" w:rsidRPr="00F31AA5">
        <w:rPr>
          <w:rFonts w:asciiTheme="minorHAnsi" w:hAnsiTheme="minorHAnsi"/>
        </w:rPr>
        <w:br/>
      </w:r>
      <w:r w:rsidR="00EC4E4D" w:rsidRPr="00F31AA5">
        <w:rPr>
          <w:rFonts w:asciiTheme="minorHAnsi" w:hAnsiTheme="minorHAnsi"/>
        </w:rPr>
        <w:t>Dimitrios Siassakos</w:t>
      </w:r>
      <w:r w:rsidR="006E174B" w:rsidRPr="00F31AA5">
        <w:rPr>
          <w:rFonts w:asciiTheme="minorHAnsi" w:hAnsiTheme="minorHAnsi"/>
        </w:rPr>
        <w:t xml:space="preserve"> (DS)</w:t>
      </w:r>
      <w:r w:rsidR="001B1559" w:rsidRPr="00F31AA5">
        <w:rPr>
          <w:rFonts w:asciiTheme="minorHAnsi" w:hAnsiTheme="minorHAnsi"/>
        </w:rPr>
        <w:t xml:space="preserve">; and </w:t>
      </w:r>
      <w:r w:rsidR="00EC4E4D" w:rsidRPr="00F31AA5">
        <w:rPr>
          <w:rFonts w:asciiTheme="minorHAnsi" w:hAnsiTheme="minorHAnsi"/>
        </w:rPr>
        <w:t>Basky Thilaganathan</w:t>
      </w:r>
      <w:r w:rsidR="006E174B" w:rsidRPr="00F31AA5">
        <w:rPr>
          <w:rFonts w:asciiTheme="minorHAnsi" w:hAnsiTheme="minorHAnsi"/>
        </w:rPr>
        <w:t xml:space="preserve"> (BT)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E45691" w:rsidRPr="00F31AA5" w14:paraId="089475C9" w14:textId="77777777" w:rsidTr="004D1D31">
        <w:tc>
          <w:tcPr>
            <w:tcW w:w="9214" w:type="dxa"/>
          </w:tcPr>
          <w:p w14:paraId="59D62D4B" w14:textId="635EAEA8" w:rsidR="00E45691" w:rsidRPr="00F31AA5" w:rsidRDefault="00E45691" w:rsidP="001B1559">
            <w:pPr>
              <w:pStyle w:val="ListParagraph"/>
              <w:numPr>
                <w:ilvl w:val="0"/>
                <w:numId w:val="9"/>
              </w:numPr>
              <w:spacing w:before="120" w:line="276" w:lineRule="auto"/>
              <w:ind w:left="357" w:hanging="357"/>
              <w:contextualSpacing w:val="0"/>
            </w:pPr>
            <w:r w:rsidRPr="00F31AA5">
              <w:rPr>
                <w:b/>
              </w:rPr>
              <w:t>Welcome, introductions and apologies</w:t>
            </w:r>
            <w:r w:rsidR="006F08B6" w:rsidRPr="00F31AA5">
              <w:rPr>
                <w:b/>
              </w:rPr>
              <w:t>.</w:t>
            </w:r>
            <w:r w:rsidR="006F08B6" w:rsidRPr="00F31AA5">
              <w:t xml:space="preserve"> </w:t>
            </w:r>
            <w:r w:rsidR="001B1559" w:rsidRPr="00F31AA5">
              <w:t>SS was welcomed as the incoming CSG Chair.</w:t>
            </w:r>
          </w:p>
        </w:tc>
      </w:tr>
      <w:tr w:rsidR="00E45691" w:rsidRPr="00F31AA5" w14:paraId="74723BD6" w14:textId="77777777" w:rsidTr="004D1D31">
        <w:tc>
          <w:tcPr>
            <w:tcW w:w="9214" w:type="dxa"/>
          </w:tcPr>
          <w:p w14:paraId="427743D6" w14:textId="10EDABC6" w:rsidR="00170581" w:rsidRPr="00F31AA5" w:rsidRDefault="00E45691" w:rsidP="00A438BF">
            <w:pPr>
              <w:pStyle w:val="numberedagenda"/>
              <w:spacing w:before="120" w:line="276" w:lineRule="auto"/>
              <w:ind w:left="357" w:hanging="357"/>
              <w:contextualSpacing w:val="0"/>
              <w:rPr>
                <w:sz w:val="22"/>
                <w:szCs w:val="22"/>
              </w:rPr>
            </w:pPr>
            <w:r w:rsidRPr="00F31AA5">
              <w:rPr>
                <w:b/>
                <w:sz w:val="22"/>
                <w:szCs w:val="22"/>
              </w:rPr>
              <w:t xml:space="preserve">Minutes of the last </w:t>
            </w:r>
            <w:r w:rsidR="00EB3FBE" w:rsidRPr="00F31AA5">
              <w:rPr>
                <w:b/>
                <w:sz w:val="22"/>
                <w:szCs w:val="22"/>
              </w:rPr>
              <w:t>meeting and matters arising</w:t>
            </w:r>
            <w:r w:rsidR="002939BD" w:rsidRPr="00F31AA5">
              <w:rPr>
                <w:sz w:val="22"/>
                <w:szCs w:val="22"/>
              </w:rPr>
              <w:t>. Actions discharged. Re SCJ/NS PICO</w:t>
            </w:r>
            <w:r w:rsidR="00A438BF" w:rsidRPr="00F31AA5">
              <w:rPr>
                <w:sz w:val="22"/>
                <w:szCs w:val="22"/>
              </w:rPr>
              <w:t>, HTA consider proposals for interventions, diagnostic effectiveness, etc, so PICO would have to be structured accordingly.</w:t>
            </w:r>
          </w:p>
        </w:tc>
      </w:tr>
      <w:tr w:rsidR="00E45691" w:rsidRPr="00F31AA5" w14:paraId="431A2715" w14:textId="77777777" w:rsidTr="0002547D">
        <w:trPr>
          <w:trHeight w:val="6646"/>
        </w:trPr>
        <w:tc>
          <w:tcPr>
            <w:tcW w:w="9214" w:type="dxa"/>
          </w:tcPr>
          <w:p w14:paraId="5D6E6B70" w14:textId="77777777" w:rsidR="000901A1" w:rsidRPr="00F31AA5" w:rsidRDefault="000901A1" w:rsidP="00C0145A">
            <w:pPr>
              <w:pStyle w:val="numberedagenda"/>
              <w:spacing w:before="240"/>
              <w:rPr>
                <w:b/>
                <w:sz w:val="22"/>
                <w:szCs w:val="22"/>
              </w:rPr>
            </w:pPr>
            <w:r w:rsidRPr="00F31AA5">
              <w:rPr>
                <w:b/>
                <w:sz w:val="22"/>
                <w:szCs w:val="22"/>
              </w:rPr>
              <w:t>Ongoing projects</w:t>
            </w:r>
          </w:p>
          <w:p w14:paraId="701C9AB3" w14:textId="4549FBD0" w:rsidR="000901A1" w:rsidRPr="00F31AA5" w:rsidRDefault="000901A1" w:rsidP="00AA3AF8">
            <w:pPr>
              <w:pStyle w:val="numberedagenda"/>
              <w:numPr>
                <w:ilvl w:val="1"/>
                <w:numId w:val="9"/>
              </w:numPr>
              <w:spacing w:after="120"/>
              <w:ind w:left="714" w:hanging="357"/>
              <w:contextualSpacing w:val="0"/>
              <w:rPr>
                <w:sz w:val="22"/>
                <w:szCs w:val="22"/>
              </w:rPr>
            </w:pPr>
            <w:r w:rsidRPr="00F31AA5">
              <w:rPr>
                <w:sz w:val="22"/>
                <w:szCs w:val="22"/>
              </w:rPr>
              <w:t>MiNESS (AH</w:t>
            </w:r>
            <w:r w:rsidR="006B2585" w:rsidRPr="00F31AA5">
              <w:rPr>
                <w:sz w:val="22"/>
                <w:szCs w:val="22"/>
              </w:rPr>
              <w:t>e</w:t>
            </w:r>
            <w:r w:rsidRPr="00F31AA5">
              <w:rPr>
                <w:sz w:val="22"/>
                <w:szCs w:val="22"/>
              </w:rPr>
              <w:t>)</w:t>
            </w:r>
            <w:r w:rsidR="009136FD" w:rsidRPr="00F31AA5">
              <w:rPr>
                <w:sz w:val="22"/>
                <w:szCs w:val="22"/>
              </w:rPr>
              <w:t xml:space="preserve"> </w:t>
            </w:r>
            <w:r w:rsidR="00A438BF" w:rsidRPr="00F31AA5">
              <w:rPr>
                <w:sz w:val="22"/>
                <w:szCs w:val="22"/>
              </w:rPr>
              <w:t>Finished recruiting last year. Analys</w:t>
            </w:r>
            <w:r w:rsidR="00D75A42" w:rsidRPr="00F31AA5">
              <w:rPr>
                <w:sz w:val="22"/>
                <w:szCs w:val="22"/>
              </w:rPr>
              <w:t>is continues. Results meeting 9 </w:t>
            </w:r>
            <w:r w:rsidR="00A438BF" w:rsidRPr="00F31AA5">
              <w:rPr>
                <w:sz w:val="22"/>
                <w:szCs w:val="22"/>
              </w:rPr>
              <w:t xml:space="preserve">June 2017. Two papers submitted to </w:t>
            </w:r>
            <w:r w:rsidR="00A438BF" w:rsidRPr="00F31AA5">
              <w:rPr>
                <w:i/>
                <w:sz w:val="22"/>
                <w:szCs w:val="22"/>
              </w:rPr>
              <w:t>BJOG</w:t>
            </w:r>
            <w:r w:rsidR="00A438BF" w:rsidRPr="00F31AA5">
              <w:rPr>
                <w:sz w:val="22"/>
                <w:szCs w:val="22"/>
              </w:rPr>
              <w:t xml:space="preserve">. Discussing peer </w:t>
            </w:r>
            <w:r w:rsidR="00D75A42" w:rsidRPr="00F31AA5">
              <w:rPr>
                <w:sz w:val="22"/>
                <w:szCs w:val="22"/>
              </w:rPr>
              <w:t>review</w:t>
            </w:r>
            <w:r w:rsidR="00A438BF" w:rsidRPr="00F31AA5">
              <w:rPr>
                <w:sz w:val="22"/>
                <w:szCs w:val="22"/>
              </w:rPr>
              <w:t xml:space="preserve"> comments</w:t>
            </w:r>
            <w:r w:rsidR="00D75A42" w:rsidRPr="00F31AA5">
              <w:rPr>
                <w:sz w:val="22"/>
                <w:szCs w:val="22"/>
              </w:rPr>
              <w:t xml:space="preserve"> re methods</w:t>
            </w:r>
            <w:r w:rsidR="00A438BF" w:rsidRPr="00F31AA5">
              <w:rPr>
                <w:sz w:val="22"/>
                <w:szCs w:val="22"/>
              </w:rPr>
              <w:t xml:space="preserve"> with editor. </w:t>
            </w:r>
            <w:r w:rsidR="00D75A42" w:rsidRPr="00F31AA5">
              <w:rPr>
                <w:sz w:val="22"/>
                <w:szCs w:val="22"/>
              </w:rPr>
              <w:t>Once paper has been accepted, highlight cumulative evidence to devolved governments, NHS England, RCM and RCOG to ensure public health messages can be promoted and supported b</w:t>
            </w:r>
            <w:r w:rsidR="00C0145A">
              <w:rPr>
                <w:sz w:val="22"/>
                <w:szCs w:val="22"/>
              </w:rPr>
              <w:t>y front-</w:t>
            </w:r>
            <w:r w:rsidR="00D75A42" w:rsidRPr="00F31AA5">
              <w:rPr>
                <w:sz w:val="22"/>
                <w:szCs w:val="22"/>
              </w:rPr>
              <w:t>line health professionals.</w:t>
            </w:r>
            <w:r w:rsidR="00C0145A">
              <w:rPr>
                <w:sz w:val="22"/>
                <w:szCs w:val="22"/>
              </w:rPr>
              <w:t xml:space="preserve"> CSG to consider methods and results.</w:t>
            </w:r>
            <w:r w:rsidR="000964C2" w:rsidRPr="00F31AA5">
              <w:rPr>
                <w:sz w:val="22"/>
                <w:szCs w:val="22"/>
              </w:rPr>
              <w:t xml:space="preserve"> </w:t>
            </w:r>
          </w:p>
          <w:p w14:paraId="1467BE44" w14:textId="5D52DD88" w:rsidR="000901A1" w:rsidRPr="00F31AA5" w:rsidRDefault="000901A1" w:rsidP="00AA3AF8">
            <w:pPr>
              <w:pStyle w:val="numberedagenda"/>
              <w:numPr>
                <w:ilvl w:val="1"/>
                <w:numId w:val="9"/>
              </w:numPr>
              <w:spacing w:after="120"/>
              <w:ind w:left="714" w:hanging="357"/>
              <w:contextualSpacing w:val="0"/>
              <w:rPr>
                <w:sz w:val="22"/>
                <w:szCs w:val="22"/>
              </w:rPr>
            </w:pPr>
            <w:r w:rsidRPr="00F31AA5">
              <w:rPr>
                <w:sz w:val="22"/>
                <w:szCs w:val="22"/>
              </w:rPr>
              <w:t>AFFIRM (</w:t>
            </w:r>
            <w:r w:rsidR="00AA35F6" w:rsidRPr="00F31AA5">
              <w:rPr>
                <w:sz w:val="22"/>
                <w:szCs w:val="22"/>
              </w:rPr>
              <w:t>SS</w:t>
            </w:r>
            <w:r w:rsidR="000964C2" w:rsidRPr="00F31AA5">
              <w:rPr>
                <w:sz w:val="22"/>
                <w:szCs w:val="22"/>
              </w:rPr>
              <w:t>/AHe</w:t>
            </w:r>
            <w:r w:rsidRPr="00F31AA5">
              <w:rPr>
                <w:sz w:val="22"/>
                <w:szCs w:val="22"/>
              </w:rPr>
              <w:t>)</w:t>
            </w:r>
            <w:r w:rsidR="00046918" w:rsidRPr="00F31AA5">
              <w:rPr>
                <w:sz w:val="22"/>
                <w:szCs w:val="22"/>
              </w:rPr>
              <w:t xml:space="preserve"> </w:t>
            </w:r>
            <w:r w:rsidR="000964C2" w:rsidRPr="00F31AA5">
              <w:rPr>
                <w:sz w:val="22"/>
                <w:szCs w:val="22"/>
              </w:rPr>
              <w:t xml:space="preserve">Protocol accepted by </w:t>
            </w:r>
            <w:r w:rsidR="000964C2" w:rsidRPr="00F31AA5">
              <w:rPr>
                <w:i/>
                <w:sz w:val="22"/>
                <w:szCs w:val="22"/>
              </w:rPr>
              <w:t>BMJ Open</w:t>
            </w:r>
            <w:r w:rsidR="000964C2" w:rsidRPr="00F31AA5">
              <w:rPr>
                <w:sz w:val="22"/>
                <w:szCs w:val="22"/>
              </w:rPr>
              <w:t xml:space="preserve">. Analysis plan written. Awaiting data from participating sites. Closed results meeting </w:t>
            </w:r>
            <w:r w:rsidR="000E3607" w:rsidRPr="00F31AA5">
              <w:rPr>
                <w:sz w:val="22"/>
                <w:szCs w:val="22"/>
              </w:rPr>
              <w:t xml:space="preserve">on </w:t>
            </w:r>
            <w:r w:rsidR="000964C2" w:rsidRPr="00F31AA5">
              <w:rPr>
                <w:sz w:val="22"/>
                <w:szCs w:val="22"/>
              </w:rPr>
              <w:t xml:space="preserve">20 October. Have surveyed </w:t>
            </w:r>
            <w:r w:rsidR="000E3607" w:rsidRPr="00F31AA5">
              <w:rPr>
                <w:sz w:val="22"/>
                <w:szCs w:val="22"/>
              </w:rPr>
              <w:t>%</w:t>
            </w:r>
            <w:r w:rsidR="000964C2" w:rsidRPr="00F31AA5">
              <w:rPr>
                <w:sz w:val="22"/>
                <w:szCs w:val="22"/>
              </w:rPr>
              <w:t xml:space="preserve"> implement</w:t>
            </w:r>
            <w:r w:rsidR="000E3607" w:rsidRPr="00F31AA5">
              <w:rPr>
                <w:sz w:val="22"/>
                <w:szCs w:val="22"/>
              </w:rPr>
              <w:t>ation</w:t>
            </w:r>
            <w:r w:rsidR="000964C2" w:rsidRPr="00F31AA5">
              <w:rPr>
                <w:sz w:val="22"/>
                <w:szCs w:val="22"/>
              </w:rPr>
              <w:t xml:space="preserve"> by sites to inform ITT analysis.</w:t>
            </w:r>
          </w:p>
          <w:p w14:paraId="5761B594" w14:textId="4762C9D5" w:rsidR="00AF5399" w:rsidRPr="00F31AA5" w:rsidRDefault="000964C2" w:rsidP="00AF5399">
            <w:pPr>
              <w:pStyle w:val="numberedagenda"/>
              <w:numPr>
                <w:ilvl w:val="1"/>
                <w:numId w:val="9"/>
              </w:numPr>
              <w:spacing w:after="120"/>
              <w:ind w:left="714" w:hanging="357"/>
              <w:contextualSpacing w:val="0"/>
              <w:rPr>
                <w:sz w:val="22"/>
                <w:szCs w:val="22"/>
              </w:rPr>
            </w:pPr>
            <w:r w:rsidRPr="00F31AA5">
              <w:rPr>
                <w:sz w:val="22"/>
                <w:szCs w:val="22"/>
              </w:rPr>
              <w:t xml:space="preserve">HTA-funded evidence synthesis/health economic analysis of universal late pregnancy ultrasound. </w:t>
            </w:r>
            <w:r w:rsidR="00DB1953" w:rsidRPr="00F31AA5">
              <w:rPr>
                <w:sz w:val="22"/>
                <w:szCs w:val="22"/>
              </w:rPr>
              <w:t xml:space="preserve">Surveying via professional bodes to ascertain the ultrasound markers being used. </w:t>
            </w:r>
            <w:r w:rsidR="00C0145A">
              <w:rPr>
                <w:sz w:val="22"/>
                <w:szCs w:val="22"/>
              </w:rPr>
              <w:t>Systematic r</w:t>
            </w:r>
            <w:r w:rsidR="00DB1953" w:rsidRPr="00F31AA5">
              <w:rPr>
                <w:sz w:val="22"/>
                <w:szCs w:val="22"/>
              </w:rPr>
              <w:t xml:space="preserve">eview protocol to be submitted to Prospero. Investigators meeting in December to </w:t>
            </w:r>
            <w:r w:rsidR="00C0145A">
              <w:rPr>
                <w:sz w:val="22"/>
                <w:szCs w:val="22"/>
              </w:rPr>
              <w:t>discuss</w:t>
            </w:r>
            <w:r w:rsidR="00DB1953" w:rsidRPr="00F31AA5">
              <w:rPr>
                <w:sz w:val="22"/>
                <w:szCs w:val="22"/>
              </w:rPr>
              <w:t xml:space="preserve"> early results. </w:t>
            </w:r>
          </w:p>
          <w:p w14:paraId="51E67CD4" w14:textId="5A7FE1B4" w:rsidR="00DB1953" w:rsidRPr="00F31AA5" w:rsidRDefault="00DB1953" w:rsidP="00AF5399">
            <w:pPr>
              <w:pStyle w:val="numberedagenda"/>
              <w:numPr>
                <w:ilvl w:val="1"/>
                <w:numId w:val="9"/>
              </w:numPr>
              <w:spacing w:after="120"/>
              <w:ind w:left="714" w:hanging="357"/>
              <w:contextualSpacing w:val="0"/>
              <w:rPr>
                <w:sz w:val="22"/>
                <w:szCs w:val="22"/>
              </w:rPr>
            </w:pPr>
            <w:r w:rsidRPr="00F31AA5">
              <w:rPr>
                <w:sz w:val="22"/>
                <w:szCs w:val="22"/>
              </w:rPr>
              <w:t>Each Baby Counts (HK) Second report to be published 21 June, with full results for 2015 and thematic analysis on three aspects of care: fetal monitoring; human factors; and neonatal</w:t>
            </w:r>
            <w:r w:rsidR="00AF5399" w:rsidRPr="00F31AA5">
              <w:rPr>
                <w:sz w:val="22"/>
                <w:szCs w:val="22"/>
              </w:rPr>
              <w:t xml:space="preserve"> care. Media interest expected.</w:t>
            </w:r>
          </w:p>
          <w:p w14:paraId="7702A8A7" w14:textId="438DDF37" w:rsidR="00AF5399" w:rsidRPr="00F31AA5" w:rsidRDefault="00AF5399" w:rsidP="00AF5399">
            <w:pPr>
              <w:pStyle w:val="numberedagenda"/>
              <w:numPr>
                <w:ilvl w:val="0"/>
                <w:numId w:val="0"/>
              </w:numPr>
              <w:spacing w:after="120"/>
              <w:ind w:left="714"/>
              <w:contextualSpacing w:val="0"/>
              <w:rPr>
                <w:sz w:val="22"/>
                <w:szCs w:val="22"/>
              </w:rPr>
            </w:pPr>
            <w:r w:rsidRPr="00F31AA5">
              <w:rPr>
                <w:sz w:val="22"/>
                <w:szCs w:val="22"/>
              </w:rPr>
              <w:t>National maternity and perinatal audit (HQIP-funded) (HK) 100% of maternity units in Scotland and Wales, 98% England (three trusts without electronic records)</w:t>
            </w:r>
            <w:r w:rsidR="00172835" w:rsidRPr="00F31AA5">
              <w:rPr>
                <w:sz w:val="22"/>
                <w:szCs w:val="22"/>
              </w:rPr>
              <w:t xml:space="preserve"> supplying information for 88 data points (direct from hospitals in England). By the end of 2018, will have a research resource that includes information on practically all births over a 2 year period (~3 million deliveries). Meeting with MBRRACE in Autumn to discuss linkage.</w:t>
            </w:r>
          </w:p>
          <w:p w14:paraId="34B914D4" w14:textId="33E5D54F" w:rsidR="00172835" w:rsidRPr="00C0145A" w:rsidRDefault="00172835" w:rsidP="00AF5399">
            <w:pPr>
              <w:pStyle w:val="numberedagenda"/>
              <w:numPr>
                <w:ilvl w:val="0"/>
                <w:numId w:val="0"/>
              </w:numPr>
              <w:spacing w:after="120"/>
              <w:ind w:left="714"/>
              <w:contextualSpacing w:val="0"/>
              <w:rPr>
                <w:sz w:val="22"/>
                <w:szCs w:val="22"/>
              </w:rPr>
            </w:pPr>
            <w:r w:rsidRPr="00F31AA5">
              <w:rPr>
                <w:sz w:val="22"/>
                <w:szCs w:val="22"/>
              </w:rPr>
              <w:t xml:space="preserve">Study using HES data to replicate 35/39 study with perinatal death as primary outcome: 77000 deliveries in nulliparous women 35+. </w:t>
            </w:r>
            <w:r w:rsidRPr="00F31AA5">
              <w:rPr>
                <w:i/>
                <w:sz w:val="22"/>
                <w:szCs w:val="22"/>
              </w:rPr>
              <w:t>JAMA</w:t>
            </w:r>
            <w:r w:rsidRPr="00F31AA5">
              <w:rPr>
                <w:sz w:val="22"/>
                <w:szCs w:val="22"/>
              </w:rPr>
              <w:t xml:space="preserve"> rejected, submitting to </w:t>
            </w:r>
            <w:r w:rsidRPr="00F31AA5">
              <w:rPr>
                <w:i/>
                <w:sz w:val="22"/>
                <w:szCs w:val="22"/>
              </w:rPr>
              <w:t>BMJ</w:t>
            </w:r>
            <w:r w:rsidR="00C0145A">
              <w:rPr>
                <w:sz w:val="22"/>
                <w:szCs w:val="22"/>
              </w:rPr>
              <w:t>.</w:t>
            </w:r>
          </w:p>
          <w:p w14:paraId="148910C0" w14:textId="7408E2A8" w:rsidR="0019330D" w:rsidRPr="00F31AA5" w:rsidRDefault="00560D2F" w:rsidP="0019330D">
            <w:pPr>
              <w:pStyle w:val="numberedagenda"/>
              <w:numPr>
                <w:ilvl w:val="1"/>
                <w:numId w:val="9"/>
              </w:numPr>
              <w:rPr>
                <w:sz w:val="22"/>
                <w:szCs w:val="22"/>
              </w:rPr>
            </w:pPr>
            <w:r w:rsidRPr="00F31AA5">
              <w:rPr>
                <w:sz w:val="22"/>
                <w:szCs w:val="22"/>
              </w:rPr>
              <w:t>PARENTS 2 (DS) study on designing a new process for involving parents (alongside the MBRRACE project): 1st phase completed (staff and stakeholders focus groups in two cities; consensus meeting 9 June</w:t>
            </w:r>
            <w:r w:rsidR="00C0145A">
              <w:rPr>
                <w:sz w:val="22"/>
                <w:szCs w:val="22"/>
              </w:rPr>
              <w:t>)</w:t>
            </w:r>
            <w:r w:rsidRPr="00F31AA5">
              <w:rPr>
                <w:sz w:val="22"/>
                <w:szCs w:val="22"/>
              </w:rPr>
              <w:t>; two papers in preparation (consensus paper and thematic analysis paper). Pilot intervention to start this summer. CSG members invited to join a large bid (NIHR/HF) early next year for a dissemination and evaluation project</w:t>
            </w:r>
            <w:r w:rsidR="00C0145A">
              <w:rPr>
                <w:sz w:val="22"/>
                <w:szCs w:val="22"/>
              </w:rPr>
              <w:t>.</w:t>
            </w:r>
          </w:p>
          <w:p w14:paraId="7F1797BB" w14:textId="3B1A6984" w:rsidR="00560D2F" w:rsidRPr="00F31AA5" w:rsidRDefault="00560D2F" w:rsidP="0019330D">
            <w:pPr>
              <w:pStyle w:val="numberedagenda"/>
              <w:numPr>
                <w:ilvl w:val="1"/>
                <w:numId w:val="9"/>
              </w:numPr>
              <w:rPr>
                <w:sz w:val="22"/>
                <w:szCs w:val="22"/>
              </w:rPr>
            </w:pPr>
            <w:r w:rsidRPr="00F31AA5">
              <w:rPr>
                <w:sz w:val="22"/>
                <w:szCs w:val="22"/>
              </w:rPr>
              <w:t xml:space="preserve">International </w:t>
            </w:r>
            <w:r w:rsidR="00BA6014" w:rsidRPr="00F31AA5">
              <w:rPr>
                <w:sz w:val="22"/>
                <w:szCs w:val="22"/>
              </w:rPr>
              <w:t xml:space="preserve">consensus on bereavement care </w:t>
            </w:r>
            <w:r w:rsidRPr="00F31AA5">
              <w:rPr>
                <w:sz w:val="22"/>
                <w:szCs w:val="22"/>
              </w:rPr>
              <w:t>(DS)</w:t>
            </w:r>
            <w:r w:rsidR="0019330D" w:rsidRPr="00F31AA5">
              <w:rPr>
                <w:sz w:val="22"/>
                <w:szCs w:val="22"/>
              </w:rPr>
              <w:t xml:space="preserve"> Working to agree basic principles of respectful bereavement care for LMICs and HICs. Any CSG member aware of ongoing research in LMICs to contact DS.</w:t>
            </w:r>
          </w:p>
          <w:p w14:paraId="196387A0" w14:textId="6B477107" w:rsidR="00205B4A" w:rsidRPr="00F31AA5" w:rsidRDefault="00205B4A" w:rsidP="00BA6014">
            <w:pPr>
              <w:pStyle w:val="numberedagenda"/>
              <w:numPr>
                <w:ilvl w:val="1"/>
                <w:numId w:val="9"/>
              </w:numPr>
              <w:contextualSpacing w:val="0"/>
              <w:rPr>
                <w:sz w:val="22"/>
                <w:szCs w:val="22"/>
              </w:rPr>
            </w:pPr>
            <w:r w:rsidRPr="00F31AA5">
              <w:rPr>
                <w:sz w:val="22"/>
                <w:szCs w:val="22"/>
              </w:rPr>
              <w:t xml:space="preserve">Core </w:t>
            </w:r>
            <w:r w:rsidR="00BA6014" w:rsidRPr="00F31AA5">
              <w:rPr>
                <w:sz w:val="22"/>
                <w:szCs w:val="22"/>
              </w:rPr>
              <w:t>outcome set for trials of</w:t>
            </w:r>
            <w:r w:rsidR="000E3607" w:rsidRPr="00F31AA5">
              <w:rPr>
                <w:sz w:val="22"/>
                <w:szCs w:val="22"/>
              </w:rPr>
              <w:t xml:space="preserve"> bereavement care interventions</w:t>
            </w:r>
            <w:r w:rsidR="00BA6014" w:rsidRPr="00F31AA5">
              <w:rPr>
                <w:sz w:val="22"/>
                <w:szCs w:val="22"/>
              </w:rPr>
              <w:t xml:space="preserve"> </w:t>
            </w:r>
            <w:r w:rsidRPr="00F31AA5">
              <w:rPr>
                <w:sz w:val="22"/>
                <w:szCs w:val="22"/>
              </w:rPr>
              <w:t>(DS)</w:t>
            </w:r>
            <w:r w:rsidR="0019330D" w:rsidRPr="00F31AA5">
              <w:rPr>
                <w:sz w:val="22"/>
                <w:szCs w:val="22"/>
              </w:rPr>
              <w:t xml:space="preserve"> </w:t>
            </w:r>
            <w:r w:rsidR="00BA6014" w:rsidRPr="00F31AA5">
              <w:rPr>
                <w:sz w:val="22"/>
                <w:szCs w:val="22"/>
              </w:rPr>
              <w:t>Prior to potential award o</w:t>
            </w:r>
            <w:r w:rsidR="00C0145A">
              <w:rPr>
                <w:sz w:val="22"/>
                <w:szCs w:val="22"/>
              </w:rPr>
              <w:t>f</w:t>
            </w:r>
            <w:r w:rsidR="00BA6014" w:rsidRPr="00F31AA5">
              <w:rPr>
                <w:sz w:val="22"/>
                <w:szCs w:val="22"/>
              </w:rPr>
              <w:t xml:space="preserve"> NIHR fellowship, the Bristol team are exploring appropriate parent engagement in COS development.</w:t>
            </w:r>
          </w:p>
          <w:p w14:paraId="1A56C9D6" w14:textId="1CFB6490" w:rsidR="00205B4A" w:rsidRPr="00F31AA5" w:rsidRDefault="00205B4A" w:rsidP="000E3607">
            <w:pPr>
              <w:pStyle w:val="numberedagenda"/>
              <w:numPr>
                <w:ilvl w:val="1"/>
                <w:numId w:val="9"/>
              </w:numPr>
              <w:rPr>
                <w:sz w:val="22"/>
                <w:szCs w:val="22"/>
              </w:rPr>
            </w:pPr>
            <w:r w:rsidRPr="00F31AA5">
              <w:rPr>
                <w:sz w:val="22"/>
                <w:szCs w:val="22"/>
              </w:rPr>
              <w:t>DESiGN (JSc</w:t>
            </w:r>
            <w:r w:rsidR="00BA6014" w:rsidRPr="00F31AA5">
              <w:rPr>
                <w:sz w:val="22"/>
                <w:szCs w:val="22"/>
              </w:rPr>
              <w:t>/JaS</w:t>
            </w:r>
            <w:r w:rsidRPr="00F31AA5">
              <w:rPr>
                <w:sz w:val="22"/>
                <w:szCs w:val="22"/>
              </w:rPr>
              <w:t>)</w:t>
            </w:r>
            <w:r w:rsidR="00BA6014" w:rsidRPr="00F31AA5">
              <w:rPr>
                <w:sz w:val="22"/>
                <w:szCs w:val="22"/>
              </w:rPr>
              <w:t xml:space="preserve"> </w:t>
            </w:r>
            <w:r w:rsidR="000375A4" w:rsidRPr="00F31AA5">
              <w:rPr>
                <w:sz w:val="22"/>
                <w:szCs w:val="22"/>
              </w:rPr>
              <w:t xml:space="preserve">Study </w:t>
            </w:r>
            <w:r w:rsidR="000E3607" w:rsidRPr="00F31AA5">
              <w:rPr>
                <w:sz w:val="22"/>
                <w:szCs w:val="22"/>
              </w:rPr>
              <w:t xml:space="preserve">started </w:t>
            </w:r>
            <w:r w:rsidR="000375A4" w:rsidRPr="00F31AA5">
              <w:rPr>
                <w:sz w:val="22"/>
                <w:szCs w:val="22"/>
              </w:rPr>
              <w:t>Nov 2016</w:t>
            </w:r>
            <w:r w:rsidR="000E3607" w:rsidRPr="00F31AA5">
              <w:rPr>
                <w:sz w:val="22"/>
                <w:szCs w:val="22"/>
              </w:rPr>
              <w:t>. 1</w:t>
            </w:r>
            <w:r w:rsidR="000375A4" w:rsidRPr="00F31AA5">
              <w:rPr>
                <w:sz w:val="22"/>
                <w:szCs w:val="22"/>
              </w:rPr>
              <w:t>1 units</w:t>
            </w:r>
            <w:r w:rsidR="000E3607" w:rsidRPr="00F31AA5">
              <w:rPr>
                <w:sz w:val="22"/>
                <w:szCs w:val="22"/>
              </w:rPr>
              <w:t xml:space="preserve"> randomised, with a</w:t>
            </w:r>
            <w:r w:rsidR="000375A4" w:rsidRPr="00F31AA5">
              <w:rPr>
                <w:sz w:val="22"/>
                <w:szCs w:val="22"/>
              </w:rPr>
              <w:t xml:space="preserve"> further </w:t>
            </w:r>
            <w:r w:rsidR="000E3607" w:rsidRPr="00F31AA5">
              <w:rPr>
                <w:sz w:val="22"/>
                <w:szCs w:val="22"/>
              </w:rPr>
              <w:t>two</w:t>
            </w:r>
            <w:r w:rsidR="000375A4" w:rsidRPr="00F31AA5">
              <w:rPr>
                <w:sz w:val="22"/>
                <w:szCs w:val="22"/>
              </w:rPr>
              <w:t xml:space="preserve"> units to randomise</w:t>
            </w:r>
            <w:r w:rsidR="000E3607" w:rsidRPr="00F31AA5">
              <w:rPr>
                <w:sz w:val="22"/>
                <w:szCs w:val="22"/>
              </w:rPr>
              <w:t xml:space="preserve">. </w:t>
            </w:r>
            <w:r w:rsidR="00BA6014" w:rsidRPr="00F31AA5">
              <w:rPr>
                <w:sz w:val="22"/>
                <w:szCs w:val="22"/>
              </w:rPr>
              <w:t>JSa is leading an analysis of implementation and training. First results likely end 2018.</w:t>
            </w:r>
          </w:p>
          <w:tbl>
            <w:tblPr>
              <w:tblStyle w:val="TableGrid"/>
              <w:tblpPr w:leftFromText="180" w:rightFromText="180" w:vertAnchor="text" w:horzAnchor="margin" w:tblpY="229"/>
              <w:tblOverlap w:val="never"/>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8662"/>
            </w:tblGrid>
            <w:tr w:rsidR="008C50E2" w:rsidRPr="00F31AA5" w14:paraId="671C4C4A" w14:textId="77777777" w:rsidTr="008C50E2">
              <w:trPr>
                <w:trHeight w:val="576"/>
              </w:trPr>
              <w:tc>
                <w:tcPr>
                  <w:tcW w:w="8662" w:type="dxa"/>
                </w:tcPr>
                <w:p w14:paraId="49688187" w14:textId="77777777" w:rsidR="008C50E2" w:rsidRPr="00F31AA5" w:rsidRDefault="008C50E2" w:rsidP="008C50E2">
                  <w:pPr>
                    <w:pStyle w:val="newbull"/>
                    <w:keepNext/>
                    <w:numPr>
                      <w:ilvl w:val="0"/>
                      <w:numId w:val="0"/>
                    </w:numPr>
                    <w:rPr>
                      <w:b/>
                    </w:rPr>
                  </w:pPr>
                  <w:r w:rsidRPr="00F31AA5">
                    <w:rPr>
                      <w:b/>
                    </w:rPr>
                    <w:t xml:space="preserve">Action: </w:t>
                  </w:r>
                </w:p>
                <w:p w14:paraId="2EC7F901" w14:textId="77777777" w:rsidR="008C50E2" w:rsidRPr="00C0145A" w:rsidRDefault="008C50E2" w:rsidP="008C50E2">
                  <w:pPr>
                    <w:pStyle w:val="newbull"/>
                    <w:keepNext/>
                    <w:rPr>
                      <w:b/>
                    </w:rPr>
                  </w:pPr>
                  <w:r w:rsidRPr="00F31AA5">
                    <w:t xml:space="preserve">(a) </w:t>
                  </w:r>
                  <w:r w:rsidRPr="00F31AA5">
                    <w:t xml:space="preserve">AHe to circulate </w:t>
                  </w:r>
                  <w:r w:rsidRPr="00F31AA5">
                    <w:t xml:space="preserve">MiNESS </w:t>
                  </w:r>
                  <w:r w:rsidRPr="00F31AA5">
                    <w:t xml:space="preserve">paper to CSG </w:t>
                  </w:r>
                </w:p>
                <w:p w14:paraId="0922FF24" w14:textId="77777777" w:rsidR="00C0145A" w:rsidRPr="00C0145A" w:rsidRDefault="00C0145A" w:rsidP="008C50E2">
                  <w:pPr>
                    <w:pStyle w:val="newbull"/>
                    <w:keepNext/>
                    <w:rPr>
                      <w:b/>
                    </w:rPr>
                  </w:pPr>
                  <w:r>
                    <w:t>(e) CSG members interested in joining bid for dissemination/evaluation project for involving parents in review to contact DS</w:t>
                  </w:r>
                </w:p>
                <w:p w14:paraId="493DE8E4" w14:textId="529FDCBD" w:rsidR="00C0145A" w:rsidRPr="00F31AA5" w:rsidRDefault="00C0145A" w:rsidP="00C0145A">
                  <w:pPr>
                    <w:pStyle w:val="newbull"/>
                    <w:keepNext/>
                    <w:rPr>
                      <w:b/>
                    </w:rPr>
                  </w:pPr>
                  <w:r>
                    <w:t xml:space="preserve">(f) </w:t>
                  </w:r>
                  <w:r>
                    <w:t xml:space="preserve">CSG members </w:t>
                  </w:r>
                  <w:r>
                    <w:t xml:space="preserve">aware of LMIC bereavement care research </w:t>
                  </w:r>
                  <w:r>
                    <w:t>to contact DS</w:t>
                  </w:r>
                </w:p>
              </w:tc>
            </w:tr>
          </w:tbl>
          <w:p w14:paraId="4623A9DE" w14:textId="79C3AA1A" w:rsidR="00E57FD8" w:rsidRPr="00F31AA5" w:rsidRDefault="00BA6014" w:rsidP="00E57FD8">
            <w:pPr>
              <w:pStyle w:val="numberedagenda"/>
              <w:spacing w:before="120"/>
              <w:ind w:left="357" w:hanging="357"/>
              <w:contextualSpacing w:val="0"/>
              <w:rPr>
                <w:b/>
                <w:sz w:val="22"/>
                <w:szCs w:val="22"/>
              </w:rPr>
            </w:pPr>
            <w:r w:rsidRPr="00F31AA5">
              <w:rPr>
                <w:b/>
                <w:sz w:val="22"/>
                <w:szCs w:val="22"/>
              </w:rPr>
              <w:t xml:space="preserve">Completed </w:t>
            </w:r>
            <w:r w:rsidR="00E57FD8" w:rsidRPr="00F31AA5">
              <w:rPr>
                <w:b/>
                <w:sz w:val="22"/>
                <w:szCs w:val="22"/>
              </w:rPr>
              <w:t xml:space="preserve">projects </w:t>
            </w:r>
          </w:p>
          <w:p w14:paraId="61387E77" w14:textId="59E429E2" w:rsidR="00E57FD8" w:rsidRPr="00F31AA5" w:rsidRDefault="00E57FD8" w:rsidP="00BA6014">
            <w:pPr>
              <w:pStyle w:val="numberedagenda"/>
              <w:numPr>
                <w:ilvl w:val="1"/>
                <w:numId w:val="9"/>
              </w:numPr>
              <w:contextualSpacing w:val="0"/>
              <w:rPr>
                <w:sz w:val="22"/>
                <w:szCs w:val="22"/>
              </w:rPr>
            </w:pPr>
            <w:r w:rsidRPr="00F31AA5">
              <w:rPr>
                <w:sz w:val="22"/>
                <w:szCs w:val="22"/>
              </w:rPr>
              <w:t>INSIGHT (DS)</w:t>
            </w:r>
            <w:r w:rsidR="00BA6014" w:rsidRPr="00F31AA5">
              <w:rPr>
                <w:sz w:val="22"/>
                <w:szCs w:val="22"/>
              </w:rPr>
              <w:t xml:space="preserve"> Paper on bereavement care practices and behaviours to inform training </w:t>
            </w:r>
            <w:r w:rsidR="00C0145A">
              <w:rPr>
                <w:sz w:val="22"/>
                <w:szCs w:val="22"/>
              </w:rPr>
              <w:t xml:space="preserve">accepted </w:t>
            </w:r>
            <w:r w:rsidR="00BA6014" w:rsidRPr="00F31AA5">
              <w:rPr>
                <w:sz w:val="22"/>
                <w:szCs w:val="22"/>
              </w:rPr>
              <w:t xml:space="preserve">by </w:t>
            </w:r>
            <w:r w:rsidR="00BA6014" w:rsidRPr="00F31AA5">
              <w:rPr>
                <w:i/>
                <w:sz w:val="22"/>
                <w:szCs w:val="22"/>
              </w:rPr>
              <w:t>BJOG</w:t>
            </w:r>
            <w:r w:rsidR="00BA6014" w:rsidRPr="00F31AA5">
              <w:rPr>
                <w:sz w:val="22"/>
                <w:szCs w:val="22"/>
              </w:rPr>
              <w:t>.</w:t>
            </w:r>
          </w:p>
          <w:p w14:paraId="4F588CBF" w14:textId="5BF5E6AC" w:rsidR="00E57FD8" w:rsidRPr="00F31AA5" w:rsidRDefault="00E57FD8" w:rsidP="00BA6014">
            <w:pPr>
              <w:pStyle w:val="numberedagenda"/>
              <w:numPr>
                <w:ilvl w:val="1"/>
                <w:numId w:val="9"/>
              </w:numPr>
              <w:contextualSpacing w:val="0"/>
              <w:rPr>
                <w:sz w:val="22"/>
                <w:szCs w:val="22"/>
              </w:rPr>
            </w:pPr>
            <w:r w:rsidRPr="00F31AA5">
              <w:rPr>
                <w:sz w:val="22"/>
                <w:szCs w:val="22"/>
              </w:rPr>
              <w:t>PARENTS (DS)</w:t>
            </w:r>
            <w:r w:rsidR="00BA6014" w:rsidRPr="00F31AA5">
              <w:rPr>
                <w:sz w:val="22"/>
                <w:szCs w:val="22"/>
              </w:rPr>
              <w:t xml:space="preserve"> Paper on parental views on perinatal mortality review </w:t>
            </w:r>
            <w:r w:rsidR="000375A4" w:rsidRPr="00F31AA5">
              <w:rPr>
                <w:sz w:val="22"/>
                <w:szCs w:val="22"/>
              </w:rPr>
              <w:t xml:space="preserve">accepted for publication by </w:t>
            </w:r>
            <w:r w:rsidR="00BA6014" w:rsidRPr="00F31AA5">
              <w:rPr>
                <w:i/>
                <w:sz w:val="22"/>
                <w:szCs w:val="22"/>
              </w:rPr>
              <w:t>BMC Pregnancy</w:t>
            </w:r>
            <w:r w:rsidR="000375A4" w:rsidRPr="00F31AA5">
              <w:rPr>
                <w:i/>
                <w:sz w:val="22"/>
                <w:szCs w:val="22"/>
              </w:rPr>
              <w:t xml:space="preserve"> and Childbirth</w:t>
            </w:r>
          </w:p>
          <w:p w14:paraId="131C5C59" w14:textId="77777777" w:rsidR="00E57FD8" w:rsidRPr="00F31AA5" w:rsidRDefault="00E57FD8" w:rsidP="00E57FD8">
            <w:pPr>
              <w:pStyle w:val="numberedagenda"/>
              <w:spacing w:before="120"/>
              <w:ind w:left="357" w:hanging="357"/>
              <w:contextualSpacing w:val="0"/>
              <w:rPr>
                <w:b/>
                <w:sz w:val="22"/>
                <w:szCs w:val="22"/>
              </w:rPr>
            </w:pPr>
            <w:r w:rsidRPr="00F31AA5">
              <w:rPr>
                <w:b/>
                <w:sz w:val="22"/>
                <w:szCs w:val="22"/>
              </w:rPr>
              <w:t xml:space="preserve">Applications </w:t>
            </w:r>
          </w:p>
          <w:p w14:paraId="420F7775" w14:textId="21279A2C" w:rsidR="00E57FD8" w:rsidRPr="00F31AA5" w:rsidRDefault="00E57FD8" w:rsidP="00E57FD8">
            <w:pPr>
              <w:pStyle w:val="numberedagenda"/>
              <w:numPr>
                <w:ilvl w:val="1"/>
                <w:numId w:val="9"/>
              </w:numPr>
              <w:spacing w:line="276" w:lineRule="auto"/>
              <w:contextualSpacing w:val="0"/>
              <w:rPr>
                <w:sz w:val="22"/>
                <w:szCs w:val="22"/>
              </w:rPr>
            </w:pPr>
            <w:r w:rsidRPr="00F31AA5">
              <w:rPr>
                <w:sz w:val="22"/>
                <w:szCs w:val="22"/>
              </w:rPr>
              <w:t xml:space="preserve">RfPB Wales </w:t>
            </w:r>
            <w:r w:rsidRPr="00F31AA5">
              <w:rPr>
                <w:rFonts w:ascii="Calibri" w:hAnsi="Calibri"/>
                <w:color w:val="000000"/>
                <w:sz w:val="22"/>
                <w:szCs w:val="22"/>
              </w:rPr>
              <w:t>application: under-representation of women with associated social risk factors presenting with RFM</w:t>
            </w:r>
            <w:r w:rsidR="000E3607" w:rsidRPr="00F31AA5">
              <w:rPr>
                <w:rFonts w:ascii="Calibri" w:hAnsi="Calibri"/>
                <w:color w:val="000000"/>
                <w:sz w:val="22"/>
                <w:szCs w:val="22"/>
              </w:rPr>
              <w:t xml:space="preserve"> (JuS) Awaiting result.</w:t>
            </w:r>
            <w:r w:rsidR="00C0145A">
              <w:rPr>
                <w:rFonts w:ascii="Calibri" w:hAnsi="Calibri"/>
                <w:color w:val="000000"/>
                <w:sz w:val="22"/>
                <w:szCs w:val="22"/>
              </w:rPr>
              <w:t xml:space="preserve"> CSG would have been interested to see proposed application.</w:t>
            </w:r>
          </w:p>
          <w:p w14:paraId="66669506" w14:textId="09C19A5A" w:rsidR="00E57FD8" w:rsidRPr="00F31AA5" w:rsidRDefault="00E57FD8" w:rsidP="00E57FD8">
            <w:pPr>
              <w:pStyle w:val="numberedagenda"/>
              <w:numPr>
                <w:ilvl w:val="1"/>
                <w:numId w:val="9"/>
              </w:numPr>
              <w:spacing w:line="276" w:lineRule="auto"/>
              <w:contextualSpacing w:val="0"/>
              <w:rPr>
                <w:sz w:val="22"/>
                <w:szCs w:val="22"/>
              </w:rPr>
            </w:pPr>
            <w:r w:rsidRPr="00F31AA5">
              <w:rPr>
                <w:sz w:val="22"/>
                <w:szCs w:val="22"/>
              </w:rPr>
              <w:t>HTA call for macrosomia trial (JT)</w:t>
            </w:r>
            <w:r w:rsidR="000E3607" w:rsidRPr="00F31AA5">
              <w:rPr>
                <w:sz w:val="22"/>
                <w:szCs w:val="22"/>
              </w:rPr>
              <w:t xml:space="preserve"> JT application unsuccessful; awarded to a trial using customised growth charts/GROW software led </w:t>
            </w:r>
            <w:r w:rsidR="00676C16" w:rsidRPr="00F31AA5">
              <w:rPr>
                <w:sz w:val="22"/>
                <w:szCs w:val="22"/>
              </w:rPr>
              <w:t>from Warwick.</w:t>
            </w:r>
            <w:r w:rsidR="000E3607" w:rsidRPr="00F31AA5">
              <w:rPr>
                <w:sz w:val="22"/>
                <w:szCs w:val="22"/>
              </w:rPr>
              <w:t xml:space="preserve"> </w:t>
            </w:r>
          </w:p>
          <w:p w14:paraId="086FF900" w14:textId="767BA1C0" w:rsidR="00E57FD8" w:rsidRPr="00F31AA5" w:rsidRDefault="00E57FD8" w:rsidP="00E57FD8">
            <w:pPr>
              <w:pStyle w:val="numberedagenda"/>
              <w:numPr>
                <w:ilvl w:val="1"/>
                <w:numId w:val="9"/>
              </w:numPr>
              <w:spacing w:line="276" w:lineRule="auto"/>
              <w:contextualSpacing w:val="0"/>
              <w:rPr>
                <w:sz w:val="22"/>
                <w:szCs w:val="22"/>
              </w:rPr>
            </w:pPr>
            <w:r w:rsidRPr="00F31AA5">
              <w:rPr>
                <w:sz w:val="22"/>
                <w:szCs w:val="22"/>
              </w:rPr>
              <w:t>HTA call for scoping exercise re difficult delivery of fetal head at Caesarean (JT)</w:t>
            </w:r>
            <w:r w:rsidR="00676C16" w:rsidRPr="00F31AA5">
              <w:rPr>
                <w:sz w:val="22"/>
                <w:szCs w:val="22"/>
              </w:rPr>
              <w:t xml:space="preserve"> Not successful. Commissioning brief may be revised and call re-opened.</w:t>
            </w:r>
          </w:p>
          <w:p w14:paraId="4AB0251B" w14:textId="2FE22248" w:rsidR="00E57FD8" w:rsidRPr="00F31AA5" w:rsidRDefault="00E57FD8" w:rsidP="00E57FD8">
            <w:pPr>
              <w:pStyle w:val="numberedagenda"/>
              <w:numPr>
                <w:ilvl w:val="1"/>
                <w:numId w:val="9"/>
              </w:numPr>
              <w:spacing w:line="276" w:lineRule="auto"/>
              <w:contextualSpacing w:val="0"/>
              <w:rPr>
                <w:sz w:val="22"/>
                <w:szCs w:val="22"/>
              </w:rPr>
            </w:pPr>
            <w:r w:rsidRPr="00F31AA5">
              <w:rPr>
                <w:sz w:val="22"/>
                <w:szCs w:val="22"/>
              </w:rPr>
              <w:t>ReMIT2 (AH)</w:t>
            </w:r>
            <w:r w:rsidR="00676C16" w:rsidRPr="00F31AA5">
              <w:rPr>
                <w:sz w:val="22"/>
                <w:szCs w:val="22"/>
              </w:rPr>
              <w:t xml:space="preserve"> [should appear under Ongoing projects] </w:t>
            </w:r>
            <w:r w:rsidR="00566C2F" w:rsidRPr="00F31AA5">
              <w:rPr>
                <w:sz w:val="22"/>
                <w:szCs w:val="22"/>
              </w:rPr>
              <w:t>Multicentre RCT of P</w:t>
            </w:r>
            <w:r w:rsidR="009E23AE" w:rsidRPr="00F31AA5">
              <w:rPr>
                <w:sz w:val="22"/>
                <w:szCs w:val="22"/>
              </w:rPr>
              <w:t>l</w:t>
            </w:r>
            <w:r w:rsidR="00566C2F" w:rsidRPr="00F31AA5">
              <w:rPr>
                <w:sz w:val="22"/>
                <w:szCs w:val="22"/>
              </w:rPr>
              <w:t>GF as marker of poor outcome (composite) in RFM pregnancies from 36 weeks</w:t>
            </w:r>
            <w:r w:rsidR="009E23AE" w:rsidRPr="00F31AA5">
              <w:rPr>
                <w:sz w:val="22"/>
                <w:szCs w:val="22"/>
              </w:rPr>
              <w:t xml:space="preserve"> (sample size ~750 women)</w:t>
            </w:r>
            <w:r w:rsidR="00566C2F" w:rsidRPr="00F31AA5">
              <w:rPr>
                <w:sz w:val="22"/>
                <w:szCs w:val="22"/>
              </w:rPr>
              <w:t xml:space="preserve">. More </w:t>
            </w:r>
            <w:r w:rsidR="009E23AE" w:rsidRPr="00F31AA5">
              <w:rPr>
                <w:sz w:val="22"/>
                <w:szCs w:val="22"/>
              </w:rPr>
              <w:t xml:space="preserve">blood </w:t>
            </w:r>
            <w:r w:rsidR="00566C2F" w:rsidRPr="00F31AA5">
              <w:rPr>
                <w:sz w:val="22"/>
                <w:szCs w:val="22"/>
              </w:rPr>
              <w:t xml:space="preserve">samples currently being </w:t>
            </w:r>
            <w:r w:rsidR="009E23AE" w:rsidRPr="00F31AA5">
              <w:rPr>
                <w:sz w:val="22"/>
                <w:szCs w:val="22"/>
              </w:rPr>
              <w:t>tested</w:t>
            </w:r>
            <w:r w:rsidR="00566C2F" w:rsidRPr="00F31AA5">
              <w:rPr>
                <w:sz w:val="22"/>
                <w:szCs w:val="22"/>
              </w:rPr>
              <w:t xml:space="preserve"> in pilot. </w:t>
            </w:r>
            <w:r w:rsidR="009E23AE" w:rsidRPr="00F31AA5">
              <w:rPr>
                <w:sz w:val="22"/>
                <w:szCs w:val="22"/>
              </w:rPr>
              <w:t>Starting Autumn at earliest.</w:t>
            </w:r>
          </w:p>
          <w:p w14:paraId="628C47CF" w14:textId="1149F229" w:rsidR="00E57FD8" w:rsidRPr="00F31AA5" w:rsidRDefault="00E57FD8" w:rsidP="00E57FD8">
            <w:pPr>
              <w:pStyle w:val="numberedagenda"/>
              <w:spacing w:before="120"/>
              <w:ind w:left="357" w:hanging="357"/>
              <w:contextualSpacing w:val="0"/>
              <w:rPr>
                <w:b/>
                <w:sz w:val="22"/>
                <w:szCs w:val="22"/>
              </w:rPr>
            </w:pPr>
            <w:r w:rsidRPr="00F31AA5">
              <w:rPr>
                <w:b/>
                <w:sz w:val="22"/>
                <w:szCs w:val="22"/>
              </w:rPr>
              <w:t xml:space="preserve">PICOs </w:t>
            </w:r>
          </w:p>
          <w:p w14:paraId="7268637D" w14:textId="29BDB636" w:rsidR="00B651EF" w:rsidRPr="00F31AA5" w:rsidRDefault="00B651EF" w:rsidP="00B651EF">
            <w:pPr>
              <w:pStyle w:val="numberedagenda"/>
              <w:numPr>
                <w:ilvl w:val="0"/>
                <w:numId w:val="0"/>
              </w:numPr>
              <w:spacing w:before="120"/>
              <w:ind w:left="357"/>
              <w:contextualSpacing w:val="0"/>
              <w:rPr>
                <w:sz w:val="22"/>
                <w:szCs w:val="22"/>
              </w:rPr>
            </w:pPr>
            <w:r w:rsidRPr="00F31AA5">
              <w:rPr>
                <w:sz w:val="22"/>
                <w:szCs w:val="22"/>
              </w:rPr>
              <w:t xml:space="preserve">RCOG Research Committee has asked for 1 PICO/CSG meeting. </w:t>
            </w:r>
          </w:p>
          <w:p w14:paraId="3AABC995" w14:textId="796E6524" w:rsidR="00E57FD8" w:rsidRPr="00F31AA5" w:rsidRDefault="00E57FD8" w:rsidP="00E57FD8">
            <w:pPr>
              <w:pStyle w:val="numberedagenda"/>
              <w:numPr>
                <w:ilvl w:val="1"/>
                <w:numId w:val="9"/>
              </w:numPr>
              <w:contextualSpacing w:val="0"/>
              <w:rPr>
                <w:sz w:val="22"/>
                <w:szCs w:val="22"/>
              </w:rPr>
            </w:pPr>
            <w:r w:rsidRPr="00F31AA5">
              <w:rPr>
                <w:sz w:val="22"/>
                <w:szCs w:val="22"/>
              </w:rPr>
              <w:t>Planned Caesarean delivery at 39 weeks to improve outcome in nullips ≥40y (GS)</w:t>
            </w:r>
            <w:r w:rsidR="00B651EF" w:rsidRPr="00F31AA5">
              <w:rPr>
                <w:sz w:val="22"/>
                <w:szCs w:val="22"/>
              </w:rPr>
              <w:t xml:space="preserve"> Objective is to show it does not cause harm. </w:t>
            </w:r>
            <w:r w:rsidR="00C0145A">
              <w:rPr>
                <w:sz w:val="22"/>
                <w:szCs w:val="22"/>
              </w:rPr>
              <w:t>Only t</w:t>
            </w:r>
            <w:r w:rsidR="000A42EB" w:rsidRPr="00F31AA5">
              <w:rPr>
                <w:sz w:val="22"/>
                <w:szCs w:val="22"/>
              </w:rPr>
              <w:t>angentially related to SB.</w:t>
            </w:r>
          </w:p>
          <w:p w14:paraId="6B613CDB" w14:textId="5B3145DF" w:rsidR="00E57FD8" w:rsidRPr="00F31AA5" w:rsidRDefault="00E57FD8" w:rsidP="00E57FD8">
            <w:pPr>
              <w:pStyle w:val="numberedagenda"/>
              <w:numPr>
                <w:ilvl w:val="1"/>
                <w:numId w:val="9"/>
              </w:numPr>
              <w:contextualSpacing w:val="0"/>
              <w:rPr>
                <w:sz w:val="22"/>
                <w:szCs w:val="22"/>
              </w:rPr>
            </w:pPr>
            <w:r w:rsidRPr="00F31AA5">
              <w:rPr>
                <w:sz w:val="22"/>
                <w:szCs w:val="22"/>
              </w:rPr>
              <w:t>Computerised CTG (AH)</w:t>
            </w:r>
            <w:r w:rsidR="000A42EB" w:rsidRPr="00F31AA5">
              <w:rPr>
                <w:sz w:val="22"/>
                <w:szCs w:val="22"/>
              </w:rPr>
              <w:t xml:space="preserve"> Agreed cluster tr</w:t>
            </w:r>
            <w:r w:rsidR="009012A2" w:rsidRPr="00F31AA5">
              <w:rPr>
                <w:sz w:val="22"/>
                <w:szCs w:val="22"/>
              </w:rPr>
              <w:t>ia</w:t>
            </w:r>
            <w:r w:rsidR="000A42EB" w:rsidRPr="00F31AA5">
              <w:rPr>
                <w:sz w:val="22"/>
                <w:szCs w:val="22"/>
              </w:rPr>
              <w:t>l would be preferential to stepped</w:t>
            </w:r>
            <w:r w:rsidR="00C0145A">
              <w:rPr>
                <w:sz w:val="22"/>
                <w:szCs w:val="22"/>
              </w:rPr>
              <w:t>-</w:t>
            </w:r>
            <w:r w:rsidR="000A42EB" w:rsidRPr="00F31AA5">
              <w:rPr>
                <w:sz w:val="22"/>
                <w:szCs w:val="22"/>
              </w:rPr>
              <w:t>wedge design</w:t>
            </w:r>
            <w:r w:rsidR="009012A2" w:rsidRPr="00F31AA5">
              <w:rPr>
                <w:sz w:val="22"/>
                <w:szCs w:val="22"/>
              </w:rPr>
              <w:t xml:space="preserve">, with ‘all women seeking additional medical care’ as population. CSG opted to support the development of this PICO and submission to </w:t>
            </w:r>
            <w:r w:rsidR="008C50E2" w:rsidRPr="00F31AA5">
              <w:rPr>
                <w:sz w:val="22"/>
                <w:szCs w:val="22"/>
              </w:rPr>
              <w:t xml:space="preserve">the </w:t>
            </w:r>
            <w:r w:rsidR="009012A2" w:rsidRPr="00F31AA5">
              <w:rPr>
                <w:sz w:val="22"/>
                <w:szCs w:val="22"/>
              </w:rPr>
              <w:t>Research Committee</w:t>
            </w:r>
            <w:r w:rsidR="008C50E2" w:rsidRPr="00F31AA5">
              <w:rPr>
                <w:sz w:val="22"/>
                <w:szCs w:val="22"/>
              </w:rPr>
              <w:t>.</w:t>
            </w:r>
          </w:p>
          <w:p w14:paraId="0C6894B3" w14:textId="4703221F" w:rsidR="00E57FD8" w:rsidRPr="00F31AA5" w:rsidRDefault="00E57FD8" w:rsidP="00E57FD8">
            <w:pPr>
              <w:pStyle w:val="numberedagenda"/>
              <w:numPr>
                <w:ilvl w:val="1"/>
                <w:numId w:val="9"/>
              </w:numPr>
              <w:contextualSpacing w:val="0"/>
              <w:rPr>
                <w:sz w:val="22"/>
                <w:szCs w:val="22"/>
              </w:rPr>
            </w:pPr>
            <w:r w:rsidRPr="00F31AA5">
              <w:rPr>
                <w:sz w:val="22"/>
                <w:szCs w:val="22"/>
              </w:rPr>
              <w:t>Induction for all at 39 weeks (JT)</w:t>
            </w:r>
            <w:r w:rsidR="009012A2" w:rsidRPr="00F31AA5">
              <w:rPr>
                <w:sz w:val="22"/>
                <w:szCs w:val="22"/>
              </w:rPr>
              <w:t xml:space="preserve"> HTA unlikely to consider while US trial is under way. Re-assess in light of remaining uncertainties when US trial publishes (data at end 2017).  </w:t>
            </w:r>
          </w:p>
          <w:p w14:paraId="3A3C0BFF" w14:textId="4A983BCF" w:rsidR="00017992" w:rsidRPr="00017992" w:rsidRDefault="00E57FD8" w:rsidP="00017992">
            <w:pPr>
              <w:pStyle w:val="numberedagenda"/>
              <w:numPr>
                <w:ilvl w:val="1"/>
                <w:numId w:val="9"/>
              </w:numPr>
              <w:spacing w:after="240"/>
              <w:contextualSpacing w:val="0"/>
              <w:rPr>
                <w:sz w:val="22"/>
                <w:szCs w:val="22"/>
              </w:rPr>
            </w:pPr>
            <w:r w:rsidRPr="00F31AA5">
              <w:rPr>
                <w:sz w:val="22"/>
                <w:szCs w:val="22"/>
              </w:rPr>
              <w:t>Use of new techniques of intermittent IP fetal monitoring to improve perinatal outcomes (JuS)</w:t>
            </w:r>
            <w:r w:rsidR="009012A2" w:rsidRPr="00F31AA5">
              <w:rPr>
                <w:sz w:val="22"/>
                <w:szCs w:val="22"/>
              </w:rPr>
              <w:t xml:space="preserve"> Raises important questions but work is needed to scope out interventions and what a trial would look like. CSG suggest submitting to HTA as a suggestion for a scoping exercise, with an explanatory note.</w:t>
            </w: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8978"/>
            </w:tblGrid>
            <w:tr w:rsidR="00376F11" w:rsidRPr="00F31AA5" w14:paraId="48ADD3D5" w14:textId="77777777" w:rsidTr="008C50E2">
              <w:trPr>
                <w:trHeight w:val="547"/>
              </w:trPr>
              <w:tc>
                <w:tcPr>
                  <w:tcW w:w="8988" w:type="dxa"/>
                </w:tcPr>
                <w:p w14:paraId="4880662D" w14:textId="77777777" w:rsidR="00376F11" w:rsidRPr="00F31AA5" w:rsidRDefault="00376F11" w:rsidP="00342545">
                  <w:pPr>
                    <w:pStyle w:val="newbull"/>
                    <w:keepNext/>
                    <w:numPr>
                      <w:ilvl w:val="0"/>
                      <w:numId w:val="0"/>
                    </w:numPr>
                    <w:rPr>
                      <w:b/>
                    </w:rPr>
                  </w:pPr>
                  <w:r w:rsidRPr="00F31AA5">
                    <w:rPr>
                      <w:b/>
                    </w:rPr>
                    <w:t xml:space="preserve">Action: </w:t>
                  </w:r>
                </w:p>
                <w:p w14:paraId="6D50B42C" w14:textId="4C1CF2D2" w:rsidR="008C50E2" w:rsidRPr="00F31AA5" w:rsidRDefault="008C50E2" w:rsidP="00342545">
                  <w:pPr>
                    <w:pStyle w:val="newbull"/>
                    <w:keepNext/>
                  </w:pPr>
                  <w:r w:rsidRPr="00F31AA5">
                    <w:t>(b) AH to develop PICO for submission to Research Committee</w:t>
                  </w:r>
                </w:p>
                <w:p w14:paraId="7B88C300" w14:textId="0D9C3F6E" w:rsidR="00376F11" w:rsidRPr="00F31AA5" w:rsidRDefault="008C50E2" w:rsidP="00342545">
                  <w:pPr>
                    <w:pStyle w:val="newbull"/>
                    <w:keepNext/>
                    <w:rPr>
                      <w:b/>
                    </w:rPr>
                  </w:pPr>
                  <w:r w:rsidRPr="00F31AA5">
                    <w:t>(d) JaS and JuS to liaise to develop scoping suggestion for HTA</w:t>
                  </w:r>
                  <w:r w:rsidR="00376F11" w:rsidRPr="00F31AA5">
                    <w:t xml:space="preserve"> </w:t>
                  </w:r>
                </w:p>
              </w:tc>
            </w:tr>
          </w:tbl>
          <w:p w14:paraId="38BB36DB" w14:textId="77777777" w:rsidR="00017992" w:rsidRPr="00017992" w:rsidRDefault="00017992" w:rsidP="00017992">
            <w:pPr>
              <w:pStyle w:val="numberedagenda"/>
              <w:numPr>
                <w:ilvl w:val="0"/>
                <w:numId w:val="0"/>
              </w:numPr>
              <w:spacing w:before="240"/>
              <w:rPr>
                <w:sz w:val="22"/>
                <w:szCs w:val="22"/>
              </w:rPr>
            </w:pPr>
          </w:p>
          <w:p w14:paraId="013452D8" w14:textId="77777777" w:rsidR="00017992" w:rsidRPr="00017992" w:rsidRDefault="00017992" w:rsidP="00017992">
            <w:pPr>
              <w:pStyle w:val="numberedagenda"/>
              <w:numPr>
                <w:ilvl w:val="0"/>
                <w:numId w:val="0"/>
              </w:numPr>
              <w:spacing w:before="240"/>
              <w:rPr>
                <w:sz w:val="22"/>
                <w:szCs w:val="22"/>
              </w:rPr>
            </w:pPr>
          </w:p>
          <w:p w14:paraId="4AAD9C44" w14:textId="321FA0E3" w:rsidR="00376F11" w:rsidRPr="00F31AA5" w:rsidRDefault="008C50E2" w:rsidP="00600E9A">
            <w:pPr>
              <w:pStyle w:val="numberedagenda"/>
              <w:spacing w:before="240"/>
              <w:rPr>
                <w:sz w:val="22"/>
                <w:szCs w:val="22"/>
              </w:rPr>
            </w:pPr>
            <w:r w:rsidRPr="00F31AA5">
              <w:rPr>
                <w:b/>
                <w:sz w:val="22"/>
                <w:szCs w:val="22"/>
              </w:rPr>
              <w:t>Development of a national research strategy</w:t>
            </w:r>
            <w:r w:rsidRPr="00F31AA5">
              <w:rPr>
                <w:sz w:val="22"/>
                <w:szCs w:val="22"/>
              </w:rPr>
              <w:t xml:space="preserve"> (JSc/LP) PB will chair a meeting </w:t>
            </w:r>
            <w:r w:rsidR="00A83588" w:rsidRPr="00F31AA5">
              <w:rPr>
                <w:sz w:val="22"/>
                <w:szCs w:val="22"/>
              </w:rPr>
              <w:t>of a Pregnancy Research Review Group that will bring together funding bodies, ABPI, charities, Royal Colleges, government agencies and the devolved nations to consider their strategies for pregnancy research and devise models to ‘de-risk’ pregnancy research for pharmaceutical companies. Invitations to be sent by Chris Whitty on behalf</w:t>
            </w:r>
            <w:bookmarkStart w:id="0" w:name="_GoBack"/>
            <w:bookmarkEnd w:id="0"/>
            <w:r w:rsidR="00A83588" w:rsidRPr="00F31AA5">
              <w:rPr>
                <w:sz w:val="22"/>
                <w:szCs w:val="22"/>
              </w:rPr>
              <w:t xml:space="preserve"> of CMO.</w:t>
            </w:r>
          </w:p>
          <w:p w14:paraId="00D1AD00" w14:textId="24BEE2AF" w:rsidR="00A83588" w:rsidRPr="00F31AA5" w:rsidRDefault="00A83588" w:rsidP="00600E9A">
            <w:pPr>
              <w:pStyle w:val="newbull"/>
              <w:numPr>
                <w:ilvl w:val="0"/>
                <w:numId w:val="0"/>
              </w:numPr>
              <w:spacing w:before="240" w:after="240"/>
              <w:ind w:left="335"/>
            </w:pPr>
            <w:r w:rsidRPr="00F31AA5">
              <w:t>The Health Futures 20/30 consultation represents a further opportunity to raise the area of pregnancy research. All CSG members are encouraged to complete the consultation exercise by 16 June deadline. HK to follow-up with RCOG.</w:t>
            </w: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8978"/>
            </w:tblGrid>
            <w:tr w:rsidR="00A83588" w:rsidRPr="00F31AA5" w14:paraId="4F36155D" w14:textId="77777777" w:rsidTr="00A83588">
              <w:trPr>
                <w:trHeight w:val="826"/>
              </w:trPr>
              <w:tc>
                <w:tcPr>
                  <w:tcW w:w="8988" w:type="dxa"/>
                </w:tcPr>
                <w:p w14:paraId="4C6F719A" w14:textId="505B42E6" w:rsidR="00A83588" w:rsidRPr="00F31AA5" w:rsidRDefault="00A83588" w:rsidP="002F1C72">
                  <w:pPr>
                    <w:pStyle w:val="newbull"/>
                    <w:keepNext/>
                    <w:numPr>
                      <w:ilvl w:val="0"/>
                      <w:numId w:val="0"/>
                    </w:numPr>
                    <w:rPr>
                      <w:b/>
                    </w:rPr>
                  </w:pPr>
                  <w:r w:rsidRPr="00F31AA5">
                    <w:rPr>
                      <w:b/>
                    </w:rPr>
                    <w:t xml:space="preserve">Action: </w:t>
                  </w:r>
                </w:p>
                <w:p w14:paraId="285E9A89" w14:textId="77777777" w:rsidR="00A83588" w:rsidRPr="00F31AA5" w:rsidRDefault="00A83588" w:rsidP="002F1C72">
                  <w:pPr>
                    <w:pStyle w:val="newbull"/>
                    <w:keepNext/>
                    <w:rPr>
                      <w:b/>
                    </w:rPr>
                  </w:pPr>
                  <w:r w:rsidRPr="00F31AA5">
                    <w:t>JaS to circulate Health Futures link via LP</w:t>
                  </w:r>
                </w:p>
                <w:p w14:paraId="059F66C4" w14:textId="5822562F" w:rsidR="00A83588" w:rsidRPr="00F31AA5" w:rsidRDefault="00A83588" w:rsidP="002F1C72">
                  <w:pPr>
                    <w:pStyle w:val="newbull"/>
                    <w:keepNext/>
                    <w:rPr>
                      <w:b/>
                    </w:rPr>
                  </w:pPr>
                  <w:r w:rsidRPr="00F31AA5">
                    <w:t>HK to follow up with RCOG</w:t>
                  </w:r>
                  <w:r w:rsidRPr="00F31AA5">
                    <w:t xml:space="preserve"> </w:t>
                  </w:r>
                </w:p>
              </w:tc>
            </w:tr>
          </w:tbl>
          <w:p w14:paraId="6ECF868A" w14:textId="259BFEF7" w:rsidR="00C8455B" w:rsidRPr="00F31AA5" w:rsidRDefault="00C8455B" w:rsidP="00600E9A">
            <w:pPr>
              <w:pStyle w:val="numberedagenda"/>
              <w:spacing w:before="240"/>
              <w:rPr>
                <w:b/>
                <w:sz w:val="22"/>
                <w:szCs w:val="22"/>
              </w:rPr>
            </w:pPr>
            <w:r w:rsidRPr="00F31AA5">
              <w:rPr>
                <w:b/>
                <w:sz w:val="22"/>
                <w:szCs w:val="22"/>
              </w:rPr>
              <w:t>ISA</w:t>
            </w:r>
            <w:r w:rsidR="00600E9A" w:rsidRPr="00F31AA5">
              <w:rPr>
                <w:b/>
                <w:sz w:val="22"/>
                <w:szCs w:val="22"/>
              </w:rPr>
              <w:t xml:space="preserve"> 2017/2018</w:t>
            </w:r>
          </w:p>
          <w:p w14:paraId="09BEF767" w14:textId="250CE75D" w:rsidR="00600E9A" w:rsidRPr="00F31AA5" w:rsidRDefault="00600E9A" w:rsidP="00600E9A">
            <w:pPr>
              <w:spacing w:before="120"/>
              <w:ind w:left="318"/>
            </w:pPr>
            <w:r w:rsidRPr="00F31AA5">
              <w:t>ISA 2017: University College Cork, 22–24 September (Fetal Growth conference 20</w:t>
            </w:r>
            <w:r w:rsidRPr="00F31AA5">
              <w:t>–</w:t>
            </w:r>
            <w:r w:rsidRPr="00F31AA5">
              <w:t>22 Sept)</w:t>
            </w:r>
          </w:p>
          <w:p w14:paraId="2A694316" w14:textId="1A6EA01A" w:rsidR="00C8455B" w:rsidRPr="00F31AA5" w:rsidRDefault="00600E9A" w:rsidP="00600E9A">
            <w:pPr>
              <w:spacing w:before="120"/>
              <w:ind w:left="318"/>
            </w:pPr>
            <w:r w:rsidRPr="00F31AA5">
              <w:t xml:space="preserve">2018 International Conference on Stillbirth, SIDS and Baby Survival (ISPID-ISA 2018), Glasgow, </w:t>
            </w:r>
            <w:r w:rsidR="00017992">
              <w:br/>
            </w:r>
            <w:r w:rsidRPr="00F31AA5">
              <w:t>7</w:t>
            </w:r>
            <w:r w:rsidRPr="00F31AA5">
              <w:t>–</w:t>
            </w:r>
            <w:r w:rsidRPr="00F31AA5">
              <w:t xml:space="preserve">9 June  </w:t>
            </w:r>
          </w:p>
          <w:p w14:paraId="4425A4C1" w14:textId="605093A0" w:rsidR="00600E9A" w:rsidRPr="00F31AA5" w:rsidRDefault="00600E9A" w:rsidP="00C0145A">
            <w:pPr>
              <w:pStyle w:val="numberedagenda"/>
              <w:spacing w:before="240" w:after="240"/>
              <w:ind w:left="357" w:hanging="357"/>
              <w:contextualSpacing w:val="0"/>
              <w:rPr>
                <w:b/>
                <w:sz w:val="22"/>
                <w:szCs w:val="22"/>
              </w:rPr>
            </w:pPr>
            <w:r w:rsidRPr="00F31AA5">
              <w:rPr>
                <w:b/>
                <w:sz w:val="22"/>
                <w:szCs w:val="22"/>
              </w:rPr>
              <w:t xml:space="preserve">Update on Sands research funding cycle and evaluation </w:t>
            </w:r>
            <w:r w:rsidRPr="00F31AA5">
              <w:rPr>
                <w:sz w:val="22"/>
                <w:szCs w:val="22"/>
              </w:rPr>
              <w:t>(LP) Four studies funded: improving communication skills</w:t>
            </w:r>
            <w:r w:rsidR="00BC7844" w:rsidRPr="00F31AA5">
              <w:rPr>
                <w:sz w:val="22"/>
                <w:szCs w:val="22"/>
              </w:rPr>
              <w:t xml:space="preserve"> </w:t>
            </w:r>
            <w:r w:rsidRPr="00F31AA5">
              <w:rPr>
                <w:sz w:val="22"/>
                <w:szCs w:val="22"/>
              </w:rPr>
              <w:t xml:space="preserve">around limiting life-sustaining </w:t>
            </w:r>
            <w:r w:rsidR="00BC7844" w:rsidRPr="00F31AA5">
              <w:rPr>
                <w:sz w:val="22"/>
                <w:szCs w:val="22"/>
              </w:rPr>
              <w:t>support in neonatal unit (Marlow); outcomes for resuscitated babies with no heart rate at 10 mins (Sullivan); meta-narrative review of impact of socioeconomic factors and stillbirth risk (Kingdon); prediction and prevention of perinatal death (IPD meta-analysis and COS development; Khalil). Will be monitored via interim reports linked with payment schedule and with advice form PEP Chair/Vice Chair. PEP members will be asked for their views and advice in forthcoming evaluation exercise.</w:t>
            </w:r>
          </w:p>
          <w:p w14:paraId="1B83A356" w14:textId="384D004A" w:rsidR="00BC7844" w:rsidRPr="00F31AA5" w:rsidRDefault="00BC7844" w:rsidP="00C0145A">
            <w:pPr>
              <w:pStyle w:val="numberedagenda"/>
              <w:spacing w:after="240"/>
              <w:ind w:left="357" w:hanging="357"/>
              <w:contextualSpacing w:val="0"/>
              <w:rPr>
                <w:b/>
                <w:sz w:val="22"/>
                <w:szCs w:val="22"/>
              </w:rPr>
            </w:pPr>
            <w:r w:rsidRPr="00F31AA5">
              <w:rPr>
                <w:b/>
                <w:sz w:val="22"/>
                <w:szCs w:val="22"/>
              </w:rPr>
              <w:t xml:space="preserve">BJOG Stillbirth-themed issue (DS) </w:t>
            </w:r>
            <w:r w:rsidRPr="00F31AA5">
              <w:rPr>
                <w:sz w:val="22"/>
                <w:szCs w:val="22"/>
              </w:rPr>
              <w:t>No report</w:t>
            </w:r>
          </w:p>
          <w:p w14:paraId="57CD33E3" w14:textId="77777777" w:rsidR="00B97628" w:rsidRPr="00F31AA5" w:rsidRDefault="00C8455B" w:rsidP="00AA3AF8">
            <w:pPr>
              <w:pStyle w:val="numberedagenda"/>
              <w:spacing w:before="240"/>
              <w:rPr>
                <w:b/>
                <w:sz w:val="22"/>
                <w:szCs w:val="22"/>
              </w:rPr>
            </w:pPr>
            <w:r w:rsidRPr="00F31AA5">
              <w:rPr>
                <w:b/>
                <w:sz w:val="22"/>
                <w:szCs w:val="22"/>
              </w:rPr>
              <w:t>AOB</w:t>
            </w:r>
          </w:p>
          <w:p w14:paraId="764C7E67" w14:textId="4FB2F8D1" w:rsidR="006B2585" w:rsidRPr="00F31AA5" w:rsidRDefault="006B2585" w:rsidP="00D51521">
            <w:pPr>
              <w:pStyle w:val="numberedagenda"/>
              <w:numPr>
                <w:ilvl w:val="1"/>
                <w:numId w:val="9"/>
              </w:numPr>
              <w:spacing w:before="120" w:line="276" w:lineRule="auto"/>
              <w:contextualSpacing w:val="0"/>
              <w:rPr>
                <w:sz w:val="22"/>
                <w:szCs w:val="22"/>
              </w:rPr>
            </w:pPr>
            <w:r w:rsidRPr="00F31AA5">
              <w:rPr>
                <w:sz w:val="22"/>
                <w:szCs w:val="22"/>
              </w:rPr>
              <w:t xml:space="preserve">JSa </w:t>
            </w:r>
            <w:r w:rsidR="00BC7844" w:rsidRPr="00F31AA5">
              <w:rPr>
                <w:sz w:val="22"/>
                <w:szCs w:val="22"/>
              </w:rPr>
              <w:t xml:space="preserve">asked for a record of thanks to Sands’ staff involved in ReAssure project, particularly for the support and debriefing of research staff. Now conducting follow-up research into how it is being seen and used by health professionals. </w:t>
            </w:r>
          </w:p>
          <w:p w14:paraId="6F9A27AE" w14:textId="15B41FFE" w:rsidR="006B2585" w:rsidRPr="00F31AA5" w:rsidRDefault="00BC7844" w:rsidP="00D51521">
            <w:pPr>
              <w:pStyle w:val="numberedagenda"/>
              <w:numPr>
                <w:ilvl w:val="1"/>
                <w:numId w:val="9"/>
              </w:numPr>
              <w:spacing w:before="120" w:line="276" w:lineRule="auto"/>
              <w:contextualSpacing w:val="0"/>
              <w:rPr>
                <w:sz w:val="22"/>
                <w:szCs w:val="22"/>
              </w:rPr>
            </w:pPr>
            <w:r w:rsidRPr="00F31AA5">
              <w:rPr>
                <w:sz w:val="22"/>
                <w:szCs w:val="22"/>
              </w:rPr>
              <w:t>The CSG welcome</w:t>
            </w:r>
            <w:r w:rsidR="00017992">
              <w:rPr>
                <w:sz w:val="22"/>
                <w:szCs w:val="22"/>
              </w:rPr>
              <w:t>d</w:t>
            </w:r>
            <w:r w:rsidRPr="00F31AA5">
              <w:rPr>
                <w:sz w:val="22"/>
                <w:szCs w:val="22"/>
              </w:rPr>
              <w:t xml:space="preserve"> SS as the new </w:t>
            </w:r>
            <w:r w:rsidR="00017992">
              <w:rPr>
                <w:sz w:val="22"/>
                <w:szCs w:val="22"/>
              </w:rPr>
              <w:t>C</w:t>
            </w:r>
            <w:r w:rsidRPr="00F31AA5">
              <w:rPr>
                <w:sz w:val="22"/>
                <w:szCs w:val="22"/>
              </w:rPr>
              <w:t>hair and thanked GS for 6 years in the Chair.</w:t>
            </w:r>
          </w:p>
          <w:p w14:paraId="07F13E91" w14:textId="77777777" w:rsidR="006B2585" w:rsidRDefault="006B2585" w:rsidP="006B2585">
            <w:pPr>
              <w:pStyle w:val="numberedagenda"/>
              <w:numPr>
                <w:ilvl w:val="0"/>
                <w:numId w:val="0"/>
              </w:numPr>
              <w:ind w:left="360" w:hanging="360"/>
              <w:rPr>
                <w:sz w:val="22"/>
                <w:szCs w:val="22"/>
              </w:rPr>
            </w:pPr>
          </w:p>
          <w:p w14:paraId="5DF647CC" w14:textId="77777777" w:rsidR="00017992" w:rsidRDefault="00017992" w:rsidP="006B2585">
            <w:pPr>
              <w:pStyle w:val="numberedagenda"/>
              <w:numPr>
                <w:ilvl w:val="0"/>
                <w:numId w:val="0"/>
              </w:numPr>
              <w:ind w:left="360" w:hanging="360"/>
              <w:rPr>
                <w:sz w:val="22"/>
                <w:szCs w:val="22"/>
              </w:rPr>
            </w:pPr>
          </w:p>
          <w:p w14:paraId="4C2D3347" w14:textId="77777777" w:rsidR="00017992" w:rsidRDefault="00017992" w:rsidP="006B2585">
            <w:pPr>
              <w:pStyle w:val="numberedagenda"/>
              <w:numPr>
                <w:ilvl w:val="0"/>
                <w:numId w:val="0"/>
              </w:numPr>
              <w:ind w:left="360" w:hanging="360"/>
              <w:rPr>
                <w:sz w:val="22"/>
                <w:szCs w:val="22"/>
              </w:rPr>
            </w:pPr>
          </w:p>
          <w:p w14:paraId="7D150048" w14:textId="77777777" w:rsidR="00017992" w:rsidRDefault="00017992" w:rsidP="006B2585">
            <w:pPr>
              <w:pStyle w:val="numberedagenda"/>
              <w:numPr>
                <w:ilvl w:val="0"/>
                <w:numId w:val="0"/>
              </w:numPr>
              <w:ind w:left="360" w:hanging="360"/>
              <w:rPr>
                <w:sz w:val="22"/>
                <w:szCs w:val="22"/>
              </w:rPr>
            </w:pPr>
          </w:p>
          <w:p w14:paraId="29B8D407" w14:textId="77777777" w:rsidR="00017992" w:rsidRDefault="00017992" w:rsidP="006B2585">
            <w:pPr>
              <w:pStyle w:val="numberedagenda"/>
              <w:numPr>
                <w:ilvl w:val="0"/>
                <w:numId w:val="0"/>
              </w:numPr>
              <w:ind w:left="360" w:hanging="360"/>
              <w:rPr>
                <w:sz w:val="22"/>
                <w:szCs w:val="22"/>
              </w:rPr>
            </w:pPr>
          </w:p>
          <w:p w14:paraId="32AACC69" w14:textId="77777777" w:rsidR="00017992" w:rsidRDefault="00017992" w:rsidP="006B2585">
            <w:pPr>
              <w:pStyle w:val="numberedagenda"/>
              <w:numPr>
                <w:ilvl w:val="0"/>
                <w:numId w:val="0"/>
              </w:numPr>
              <w:ind w:left="360" w:hanging="360"/>
              <w:rPr>
                <w:sz w:val="22"/>
                <w:szCs w:val="22"/>
              </w:rPr>
            </w:pPr>
          </w:p>
          <w:p w14:paraId="5D70B701" w14:textId="77777777" w:rsidR="00017992" w:rsidRDefault="00017992" w:rsidP="006B2585">
            <w:pPr>
              <w:pStyle w:val="numberedagenda"/>
              <w:numPr>
                <w:ilvl w:val="0"/>
                <w:numId w:val="0"/>
              </w:numPr>
              <w:ind w:left="360" w:hanging="360"/>
              <w:rPr>
                <w:sz w:val="22"/>
                <w:szCs w:val="22"/>
              </w:rPr>
            </w:pPr>
          </w:p>
          <w:p w14:paraId="4829798E" w14:textId="77777777" w:rsidR="00017992" w:rsidRDefault="00017992" w:rsidP="006B2585">
            <w:pPr>
              <w:pStyle w:val="numberedagenda"/>
              <w:numPr>
                <w:ilvl w:val="0"/>
                <w:numId w:val="0"/>
              </w:numPr>
              <w:ind w:left="360" w:hanging="360"/>
              <w:rPr>
                <w:sz w:val="22"/>
                <w:szCs w:val="22"/>
              </w:rPr>
            </w:pPr>
          </w:p>
          <w:p w14:paraId="7A290E68" w14:textId="77777777" w:rsidR="00017992" w:rsidRDefault="00017992" w:rsidP="006B2585">
            <w:pPr>
              <w:pStyle w:val="numberedagenda"/>
              <w:numPr>
                <w:ilvl w:val="0"/>
                <w:numId w:val="0"/>
              </w:numPr>
              <w:ind w:left="360" w:hanging="360"/>
              <w:rPr>
                <w:sz w:val="22"/>
                <w:szCs w:val="22"/>
              </w:rPr>
            </w:pPr>
          </w:p>
          <w:p w14:paraId="141A931C" w14:textId="77777777" w:rsidR="00017992" w:rsidRDefault="00017992" w:rsidP="006B2585">
            <w:pPr>
              <w:pStyle w:val="numberedagenda"/>
              <w:numPr>
                <w:ilvl w:val="0"/>
                <w:numId w:val="0"/>
              </w:numPr>
              <w:ind w:left="360" w:hanging="360"/>
              <w:rPr>
                <w:sz w:val="22"/>
                <w:szCs w:val="22"/>
              </w:rPr>
            </w:pPr>
          </w:p>
          <w:p w14:paraId="5A8A5F3B" w14:textId="77777777" w:rsidR="00017992" w:rsidRDefault="00017992" w:rsidP="006B2585">
            <w:pPr>
              <w:pStyle w:val="numberedagenda"/>
              <w:numPr>
                <w:ilvl w:val="0"/>
                <w:numId w:val="0"/>
              </w:numPr>
              <w:ind w:left="360" w:hanging="360"/>
              <w:rPr>
                <w:sz w:val="22"/>
                <w:szCs w:val="22"/>
              </w:rPr>
            </w:pPr>
          </w:p>
          <w:p w14:paraId="09742DE8" w14:textId="77777777" w:rsidR="00017992" w:rsidRDefault="00017992" w:rsidP="006B2585">
            <w:pPr>
              <w:pStyle w:val="numberedagenda"/>
              <w:numPr>
                <w:ilvl w:val="0"/>
                <w:numId w:val="0"/>
              </w:numPr>
              <w:ind w:left="360" w:hanging="360"/>
              <w:rPr>
                <w:sz w:val="22"/>
                <w:szCs w:val="22"/>
              </w:rPr>
            </w:pPr>
          </w:p>
          <w:p w14:paraId="4911DE18" w14:textId="77777777" w:rsidR="00017992" w:rsidRDefault="00017992" w:rsidP="006B2585">
            <w:pPr>
              <w:pStyle w:val="numberedagenda"/>
              <w:numPr>
                <w:ilvl w:val="0"/>
                <w:numId w:val="0"/>
              </w:numPr>
              <w:ind w:left="360" w:hanging="360"/>
              <w:rPr>
                <w:sz w:val="22"/>
                <w:szCs w:val="22"/>
              </w:rPr>
            </w:pPr>
          </w:p>
          <w:p w14:paraId="4D821D21" w14:textId="77777777" w:rsidR="00017992" w:rsidRDefault="00017992" w:rsidP="006B2585">
            <w:pPr>
              <w:pStyle w:val="numberedagenda"/>
              <w:numPr>
                <w:ilvl w:val="0"/>
                <w:numId w:val="0"/>
              </w:numPr>
              <w:ind w:left="360" w:hanging="360"/>
              <w:rPr>
                <w:sz w:val="22"/>
                <w:szCs w:val="22"/>
              </w:rPr>
            </w:pPr>
          </w:p>
          <w:p w14:paraId="13A44FBC" w14:textId="77777777" w:rsidR="00017992" w:rsidRDefault="00017992" w:rsidP="006B2585">
            <w:pPr>
              <w:pStyle w:val="numberedagenda"/>
              <w:numPr>
                <w:ilvl w:val="0"/>
                <w:numId w:val="0"/>
              </w:numPr>
              <w:ind w:left="360" w:hanging="360"/>
              <w:rPr>
                <w:sz w:val="22"/>
                <w:szCs w:val="22"/>
              </w:rPr>
            </w:pPr>
          </w:p>
          <w:p w14:paraId="2193A37C" w14:textId="77777777" w:rsidR="00017992" w:rsidRDefault="00017992" w:rsidP="006B2585">
            <w:pPr>
              <w:pStyle w:val="numberedagenda"/>
              <w:numPr>
                <w:ilvl w:val="0"/>
                <w:numId w:val="0"/>
              </w:numPr>
              <w:ind w:left="360" w:hanging="360"/>
              <w:rPr>
                <w:sz w:val="22"/>
                <w:szCs w:val="22"/>
              </w:rPr>
            </w:pPr>
          </w:p>
          <w:p w14:paraId="37F38AC3" w14:textId="77777777" w:rsidR="00017992" w:rsidRDefault="00017992" w:rsidP="006B2585">
            <w:pPr>
              <w:pStyle w:val="numberedagenda"/>
              <w:numPr>
                <w:ilvl w:val="0"/>
                <w:numId w:val="0"/>
              </w:numPr>
              <w:ind w:left="360" w:hanging="360"/>
              <w:rPr>
                <w:sz w:val="22"/>
                <w:szCs w:val="22"/>
              </w:rPr>
            </w:pPr>
          </w:p>
          <w:p w14:paraId="151F35F5" w14:textId="77777777" w:rsidR="00017992" w:rsidRDefault="00017992" w:rsidP="006B2585">
            <w:pPr>
              <w:pStyle w:val="numberedagenda"/>
              <w:numPr>
                <w:ilvl w:val="0"/>
                <w:numId w:val="0"/>
              </w:numPr>
              <w:ind w:left="360" w:hanging="360"/>
              <w:rPr>
                <w:sz w:val="22"/>
                <w:szCs w:val="22"/>
              </w:rPr>
            </w:pPr>
          </w:p>
          <w:p w14:paraId="6965A6AF" w14:textId="77777777" w:rsidR="00017992" w:rsidRDefault="00017992" w:rsidP="006B2585">
            <w:pPr>
              <w:pStyle w:val="numberedagenda"/>
              <w:numPr>
                <w:ilvl w:val="0"/>
                <w:numId w:val="0"/>
              </w:numPr>
              <w:ind w:left="360" w:hanging="360"/>
              <w:rPr>
                <w:sz w:val="22"/>
                <w:szCs w:val="22"/>
              </w:rPr>
            </w:pPr>
          </w:p>
          <w:p w14:paraId="7BB867A1" w14:textId="77777777" w:rsidR="00017992" w:rsidRDefault="00017992" w:rsidP="006B2585">
            <w:pPr>
              <w:pStyle w:val="numberedagenda"/>
              <w:numPr>
                <w:ilvl w:val="0"/>
                <w:numId w:val="0"/>
              </w:numPr>
              <w:ind w:left="360" w:hanging="360"/>
              <w:rPr>
                <w:sz w:val="22"/>
                <w:szCs w:val="22"/>
              </w:rPr>
            </w:pPr>
          </w:p>
          <w:p w14:paraId="6C6C8671" w14:textId="77777777" w:rsidR="00017992" w:rsidRPr="00F31AA5" w:rsidRDefault="00017992" w:rsidP="006B2585">
            <w:pPr>
              <w:pStyle w:val="numberedagenda"/>
              <w:numPr>
                <w:ilvl w:val="0"/>
                <w:numId w:val="0"/>
              </w:numPr>
              <w:ind w:left="360" w:hanging="360"/>
              <w:rPr>
                <w:sz w:val="22"/>
                <w:szCs w:val="22"/>
              </w:rPr>
            </w:pPr>
          </w:p>
          <w:p w14:paraId="1264A732" w14:textId="77777777" w:rsidR="00D51521" w:rsidRPr="00F31AA5" w:rsidRDefault="00D51521" w:rsidP="006B2585">
            <w:pPr>
              <w:pStyle w:val="numberedagenda"/>
              <w:numPr>
                <w:ilvl w:val="0"/>
                <w:numId w:val="0"/>
              </w:numPr>
              <w:ind w:left="360" w:hanging="360"/>
              <w:rPr>
                <w:b/>
                <w:sz w:val="22"/>
                <w:szCs w:val="22"/>
              </w:rPr>
            </w:pPr>
          </w:p>
          <w:p w14:paraId="640700E0" w14:textId="77777777" w:rsidR="006B2585" w:rsidRPr="00F31AA5" w:rsidRDefault="006B2585" w:rsidP="006B2585">
            <w:pPr>
              <w:pStyle w:val="numberedagenda"/>
              <w:numPr>
                <w:ilvl w:val="0"/>
                <w:numId w:val="0"/>
              </w:numPr>
              <w:ind w:left="360" w:hanging="360"/>
              <w:rPr>
                <w:b/>
                <w:sz w:val="22"/>
                <w:szCs w:val="22"/>
              </w:rPr>
            </w:pPr>
            <w:r w:rsidRPr="00F31AA5">
              <w:rPr>
                <w:b/>
                <w:sz w:val="22"/>
                <w:szCs w:val="22"/>
              </w:rPr>
              <w:t>Appendix: papers published from CSG-supported studies</w:t>
            </w:r>
          </w:p>
          <w:p w14:paraId="7BB9722E" w14:textId="77777777" w:rsidR="006B2585" w:rsidRPr="00F31AA5" w:rsidRDefault="006B2585" w:rsidP="006B2585">
            <w:pPr>
              <w:pStyle w:val="numberedagenda"/>
              <w:numPr>
                <w:ilvl w:val="0"/>
                <w:numId w:val="0"/>
              </w:numPr>
              <w:spacing w:before="240"/>
              <w:ind w:left="360" w:hanging="360"/>
              <w:rPr>
                <w:b/>
                <w:i/>
                <w:sz w:val="22"/>
                <w:szCs w:val="22"/>
              </w:rPr>
            </w:pPr>
          </w:p>
          <w:p w14:paraId="145E42A1" w14:textId="77777777" w:rsidR="006B2585" w:rsidRPr="00F31AA5" w:rsidRDefault="006B2585" w:rsidP="006B2585">
            <w:pPr>
              <w:pStyle w:val="numberedagenda"/>
              <w:numPr>
                <w:ilvl w:val="0"/>
                <w:numId w:val="0"/>
              </w:numPr>
              <w:spacing w:before="240"/>
              <w:ind w:left="360" w:hanging="360"/>
              <w:rPr>
                <w:b/>
                <w:i/>
                <w:sz w:val="22"/>
                <w:szCs w:val="22"/>
              </w:rPr>
            </w:pPr>
            <w:r w:rsidRPr="00F31AA5">
              <w:rPr>
                <w:b/>
                <w:i/>
                <w:sz w:val="22"/>
                <w:szCs w:val="22"/>
              </w:rPr>
              <w:t xml:space="preserve">Post mortem study </w:t>
            </w:r>
          </w:p>
          <w:p w14:paraId="7F2ECDF6" w14:textId="77777777" w:rsidR="006B2585" w:rsidRPr="00F31AA5" w:rsidRDefault="006B2585" w:rsidP="00D51521">
            <w:pPr>
              <w:pStyle w:val="newbull"/>
            </w:pPr>
            <w:r w:rsidRPr="00F31AA5">
              <w:t xml:space="preserve">Man, J., Hutchinson, J. C., Heazell, A. E., Ashworth, M., Levine, S. and Sebire, N. J. (2016), Stillbirth and intrauterine fetal death: factors affecting determination of cause of death at autopsy. </w:t>
            </w:r>
            <w:r w:rsidRPr="00F31AA5">
              <w:rPr>
                <w:i/>
              </w:rPr>
              <w:t>Ultrasound Obstet Gynecol</w:t>
            </w:r>
            <w:r w:rsidRPr="00F31AA5">
              <w:t>, 48: 566–573. doi:10.1002/uog.16016</w:t>
            </w:r>
          </w:p>
          <w:p w14:paraId="41A04E67" w14:textId="77777777" w:rsidR="006B2585" w:rsidRPr="00F31AA5" w:rsidRDefault="006B2585" w:rsidP="00D51521">
            <w:pPr>
              <w:pStyle w:val="newbull"/>
            </w:pPr>
            <w:r w:rsidRPr="00F31AA5">
              <w:t xml:space="preserve">Man, J., Hutchinson, J. C., Ashworth, M., Heazell, A. E., Jeffrey, I. and Sebire, N. J. (2016), Stillbirth and intrauterine fetal death: contemporary demographic features of &gt;1000 cases from an urban population. </w:t>
            </w:r>
            <w:r w:rsidRPr="00F31AA5">
              <w:rPr>
                <w:i/>
              </w:rPr>
              <w:t>Ultrasound Obstet Gynecol</w:t>
            </w:r>
            <w:r w:rsidRPr="00F31AA5">
              <w:t>, 48: 591–595. doi:10.1002/uog.16021</w:t>
            </w:r>
          </w:p>
          <w:p w14:paraId="3DEC9EF5" w14:textId="77777777" w:rsidR="006B2585" w:rsidRPr="00F31AA5" w:rsidRDefault="006B2585" w:rsidP="00D51521">
            <w:pPr>
              <w:pStyle w:val="newbull"/>
            </w:pPr>
            <w:r w:rsidRPr="00F31AA5">
              <w:t xml:space="preserve">Man, J., Hutchinson, J. C., Ashworth, M., Judge-Kronis, L., Levine, S. and Sebire, N. J. (2016), Stillbirth and intrauterine fetal death: role of routine histological organ sampling to determine cause of death. </w:t>
            </w:r>
            <w:r w:rsidRPr="00F31AA5">
              <w:rPr>
                <w:i/>
              </w:rPr>
              <w:t>Ultrasound Obstet Gynecol</w:t>
            </w:r>
            <w:r w:rsidRPr="00F31AA5">
              <w:t>, 48: 596–601. doi:10.1002/uog.16020</w:t>
            </w:r>
          </w:p>
          <w:p w14:paraId="399AF92B" w14:textId="77777777" w:rsidR="006B2585" w:rsidRPr="00F31AA5" w:rsidRDefault="006B2585" w:rsidP="00D51521">
            <w:pPr>
              <w:pStyle w:val="newbull"/>
            </w:pPr>
            <w:r w:rsidRPr="00F31AA5">
              <w:t xml:space="preserve">Man, J., Hutchinson, J. C., Ashworth, M., Heazell, A. E., Levine, S. and Sebire, N. J. (2016), Effects of intrauterine retention and postmortem interval on body weight following intrauterine death: implications for assessment of fetal growth restriction at autopsy. </w:t>
            </w:r>
            <w:r w:rsidRPr="00F31AA5">
              <w:rPr>
                <w:i/>
              </w:rPr>
              <w:t>Ultrasound Obstet Gynecol</w:t>
            </w:r>
            <w:r w:rsidRPr="00F31AA5">
              <w:t>, 48: 574–578. doi:10.1002/uog.16018</w:t>
            </w:r>
          </w:p>
          <w:p w14:paraId="0955AA23" w14:textId="77777777" w:rsidR="006B2585" w:rsidRPr="00F31AA5" w:rsidRDefault="006B2585" w:rsidP="00D51521">
            <w:pPr>
              <w:pStyle w:val="newbull"/>
            </w:pPr>
            <w:r w:rsidRPr="00F31AA5">
              <w:t xml:space="preserve">Man, J., Hutchinson, J. C., Heazell, A. E., Ashworth, M., Jeffrey, I. and Sebire, N. J. (2016), Stillbirth and intrauterine fetal death: role of routine histopathological placental findings to determine cause of death. </w:t>
            </w:r>
            <w:r w:rsidRPr="00F31AA5">
              <w:rPr>
                <w:i/>
              </w:rPr>
              <w:t>Ultrasound Obstet Gynecol</w:t>
            </w:r>
            <w:r w:rsidRPr="00F31AA5">
              <w:t>, 48: 579–584. doi:10.1002/uog.16019</w:t>
            </w:r>
          </w:p>
          <w:p w14:paraId="366CA714" w14:textId="77777777" w:rsidR="006B2585" w:rsidRPr="00F31AA5" w:rsidRDefault="006B2585" w:rsidP="00D51521">
            <w:pPr>
              <w:pStyle w:val="newbull"/>
            </w:pPr>
            <w:r w:rsidRPr="00F31AA5">
              <w:t xml:space="preserve">Man, J., Hutchinson, J. C., Ashworth, M., Jeffrey, I., Heazell, A. E. and Sebire, N. J. (2016), Organ weights and ratios for postmortem identification of fetal growth restriction: utility and confounding factors. </w:t>
            </w:r>
            <w:r w:rsidRPr="00F31AA5">
              <w:rPr>
                <w:i/>
              </w:rPr>
              <w:t>Ultrasound Obstet Gynecol</w:t>
            </w:r>
            <w:r w:rsidRPr="00F31AA5">
              <w:t>, 48: 585–590. doi:10.1002/uog.16017</w:t>
            </w:r>
          </w:p>
          <w:p w14:paraId="0152841C" w14:textId="77777777" w:rsidR="006B2585" w:rsidRPr="00F31AA5" w:rsidRDefault="006B2585" w:rsidP="006B2585">
            <w:pPr>
              <w:rPr>
                <w:lang w:val="en"/>
              </w:rPr>
            </w:pPr>
          </w:p>
          <w:p w14:paraId="55A2D17B" w14:textId="77777777" w:rsidR="006B2585" w:rsidRPr="00F31AA5" w:rsidRDefault="006B2585" w:rsidP="006B2585">
            <w:pPr>
              <w:rPr>
                <w:b/>
                <w:i/>
                <w:lang w:val="en"/>
              </w:rPr>
            </w:pPr>
            <w:r w:rsidRPr="00F31AA5">
              <w:rPr>
                <w:b/>
                <w:i/>
                <w:lang w:val="en"/>
              </w:rPr>
              <w:t>POP study/data</w:t>
            </w:r>
          </w:p>
          <w:p w14:paraId="624B3513" w14:textId="77777777" w:rsidR="006B2585" w:rsidRPr="00F31AA5" w:rsidRDefault="006B2585" w:rsidP="00D51521">
            <w:pPr>
              <w:pStyle w:val="newbull"/>
            </w:pPr>
            <w:r w:rsidRPr="00F31AA5">
              <w:t xml:space="preserve">Cleaton MA, Dent CL, Howard M, Corish JA, Gutteridge I, Sovio U, Gaccioli F, Takahashi N, Bauer SR, Charnock-Jones DS, Powell TL, Smith GC, Ferguson-Smith AC, Charalambous M. Fetus-derived DLK1 is required for maternal metabolic adaptations to pregnancy and is associated with fetal growth restriction. </w:t>
            </w:r>
            <w:r w:rsidRPr="00F31AA5">
              <w:rPr>
                <w:i/>
              </w:rPr>
              <w:t>Nat Genet</w:t>
            </w:r>
            <w:r w:rsidRPr="00F31AA5">
              <w:t xml:space="preserve"> 2016 Oct 24. doi: 10.1038/ng.3699. [Epub ahead of print]</w:t>
            </w:r>
          </w:p>
          <w:p w14:paraId="7A3FF397" w14:textId="77777777" w:rsidR="006B2585" w:rsidRPr="00F31AA5" w:rsidRDefault="006B2585" w:rsidP="00D51521">
            <w:pPr>
              <w:pStyle w:val="newbull"/>
            </w:pPr>
            <w:r w:rsidRPr="00F31AA5">
              <w:t xml:space="preserve">Sovio U, Murphy HR, Smith GCS. Accelerated fetal growth prior to diagnosis of gestational diabetes mellitus: a prospective cohort study of nulliparous women. </w:t>
            </w:r>
            <w:r w:rsidRPr="00F31AA5">
              <w:rPr>
                <w:i/>
              </w:rPr>
              <w:t>Diabetes Care</w:t>
            </w:r>
            <w:r w:rsidRPr="00F31AA5">
              <w:t xml:space="preserve"> 2016;39:982-7</w:t>
            </w:r>
          </w:p>
          <w:p w14:paraId="0270D1F5" w14:textId="77777777" w:rsidR="006B2585" w:rsidRPr="00F31AA5" w:rsidRDefault="006B2585" w:rsidP="00D51521">
            <w:pPr>
              <w:pStyle w:val="newbull"/>
            </w:pPr>
            <w:r w:rsidRPr="00F31AA5">
              <w:t xml:space="preserve">Salvatari N, Sovio U, Pitman Mayo R, Charnock-Jones DS, Smith GCS. The relationship between human placental morphometry and ultrasonic measurements of utero-placental blood flow and fetal growth. </w:t>
            </w:r>
            <w:r w:rsidRPr="00F31AA5">
              <w:rPr>
                <w:i/>
              </w:rPr>
              <w:t>Placenta</w:t>
            </w:r>
            <w:r w:rsidRPr="00F31AA5">
              <w:t xml:space="preserve"> 2016;38:41-8</w:t>
            </w:r>
          </w:p>
          <w:p w14:paraId="3D335F46" w14:textId="77777777" w:rsidR="006B2585" w:rsidRPr="00F31AA5" w:rsidRDefault="006B2585" w:rsidP="00D51521">
            <w:pPr>
              <w:pStyle w:val="newbull"/>
            </w:pPr>
            <w:r w:rsidRPr="00F31AA5">
              <w:t xml:space="preserve">Partap U, Sovio U, Smith GCS. Fetal growth and the risk of spontaneous preterm birth in a prospective cohort study of nulliparous women. </w:t>
            </w:r>
            <w:r w:rsidRPr="00F31AA5">
              <w:rPr>
                <w:i/>
              </w:rPr>
              <w:t>American Journal of Epidemiology</w:t>
            </w:r>
            <w:r w:rsidRPr="00F31AA5">
              <w:t xml:space="preserve"> 2016;184:110-119</w:t>
            </w:r>
          </w:p>
          <w:p w14:paraId="76DACDE8" w14:textId="77777777" w:rsidR="006B2585" w:rsidRPr="00F31AA5" w:rsidRDefault="006B2585" w:rsidP="00D51521">
            <w:pPr>
              <w:pStyle w:val="newbull"/>
              <w:rPr>
                <w:b/>
              </w:rPr>
            </w:pPr>
            <w:r w:rsidRPr="00F31AA5">
              <w:t xml:space="preserve">Sovio U, White IR, Dacey A, Pasupathy D, Smith GCS. Screening for fetal growth restriction with universal third trimester ultrasonography in nulliparous women in the Pregnancy Outcome Prediction (POP) study: a prospective cohort study. </w:t>
            </w:r>
            <w:r w:rsidRPr="00F31AA5">
              <w:rPr>
                <w:i/>
              </w:rPr>
              <w:t>Lancet</w:t>
            </w:r>
            <w:r w:rsidRPr="00F31AA5">
              <w:t xml:space="preserve"> 2015;386:2089-97</w:t>
            </w:r>
          </w:p>
        </w:tc>
      </w:tr>
    </w:tbl>
    <w:p w14:paraId="5D5A1663" w14:textId="11EFC62B" w:rsidR="007F5BD2" w:rsidRPr="00F31AA5" w:rsidRDefault="007F5BD2" w:rsidP="006B2585">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0"/>
      </w:pPr>
    </w:p>
    <w:sectPr w:rsidR="007F5BD2" w:rsidRPr="00F31AA5" w:rsidSect="004D1D31">
      <w:footerReference w:type="default" r:id="rId9"/>
      <w:pgSz w:w="11906" w:h="16838"/>
      <w:pgMar w:top="737" w:right="1440" w:bottom="1135" w:left="1440" w:header="708" w:footer="708" w:gutter="0"/>
      <w:pgBorders w:offsetFrom="page">
        <w:top w:val="single" w:sz="18" w:space="24" w:color="F79646" w:themeColor="accent6"/>
        <w:left w:val="single" w:sz="18" w:space="24" w:color="F79646" w:themeColor="accent6"/>
        <w:bottom w:val="single" w:sz="18" w:space="24" w:color="F79646" w:themeColor="accent6"/>
        <w:right w:val="single" w:sz="18" w:space="24" w:color="F79646" w:themeColor="accent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59943" w14:textId="77777777" w:rsidR="00305C0B" w:rsidRDefault="00305C0B" w:rsidP="007A02B6">
      <w:pPr>
        <w:spacing w:after="0" w:line="240" w:lineRule="auto"/>
      </w:pPr>
      <w:r>
        <w:separator/>
      </w:r>
    </w:p>
  </w:endnote>
  <w:endnote w:type="continuationSeparator" w:id="0">
    <w:p w14:paraId="0192DD29" w14:textId="77777777" w:rsidR="00305C0B" w:rsidRDefault="00305C0B" w:rsidP="007A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677933"/>
      <w:docPartObj>
        <w:docPartGallery w:val="Page Numbers (Bottom of Page)"/>
        <w:docPartUnique/>
      </w:docPartObj>
    </w:sdtPr>
    <w:sdtEndPr/>
    <w:sdtContent>
      <w:sdt>
        <w:sdtPr>
          <w:id w:val="-1769616900"/>
          <w:docPartObj>
            <w:docPartGallery w:val="Page Numbers (Top of Page)"/>
            <w:docPartUnique/>
          </w:docPartObj>
        </w:sdtPr>
        <w:sdtEndPr/>
        <w:sdtContent>
          <w:p w14:paraId="71386665" w14:textId="77777777" w:rsidR="006B2585" w:rsidRDefault="006B25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799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7992">
              <w:rPr>
                <w:b/>
                <w:bCs/>
                <w:noProof/>
              </w:rPr>
              <w:t>4</w:t>
            </w:r>
            <w:r>
              <w:rPr>
                <w:b/>
                <w:bCs/>
                <w:sz w:val="24"/>
                <w:szCs w:val="24"/>
              </w:rPr>
              <w:fldChar w:fldCharType="end"/>
            </w:r>
          </w:p>
        </w:sdtContent>
      </w:sdt>
    </w:sdtContent>
  </w:sdt>
  <w:p w14:paraId="1BBD3252" w14:textId="77777777" w:rsidR="00360420" w:rsidRDefault="00360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3ED7" w14:textId="77777777" w:rsidR="00305C0B" w:rsidRDefault="00305C0B" w:rsidP="007A02B6">
      <w:pPr>
        <w:spacing w:after="0" w:line="240" w:lineRule="auto"/>
      </w:pPr>
      <w:r>
        <w:separator/>
      </w:r>
    </w:p>
  </w:footnote>
  <w:footnote w:type="continuationSeparator" w:id="0">
    <w:p w14:paraId="3D758E30" w14:textId="77777777" w:rsidR="00305C0B" w:rsidRDefault="00305C0B" w:rsidP="007A0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02D2"/>
    <w:multiLevelType w:val="hybridMultilevel"/>
    <w:tmpl w:val="C7F6A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905E1"/>
    <w:multiLevelType w:val="hybridMultilevel"/>
    <w:tmpl w:val="5DB456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8C5D9E"/>
    <w:multiLevelType w:val="hybridMultilevel"/>
    <w:tmpl w:val="82100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219E3"/>
    <w:multiLevelType w:val="multilevel"/>
    <w:tmpl w:val="FDB252E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pStyle w:val="refbull"/>
      <w:lvlText w:val=""/>
      <w:lvlJc w:val="left"/>
      <w:pPr>
        <w:ind w:left="2520" w:hanging="360"/>
      </w:pPr>
      <w:rPr>
        <w:rFonts w:ascii="Symbol" w:hAnsi="Symbol"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BD748F"/>
    <w:multiLevelType w:val="hybridMultilevel"/>
    <w:tmpl w:val="C3A89C60"/>
    <w:lvl w:ilvl="0" w:tplc="A7609316">
      <w:start w:val="1"/>
      <w:numFmt w:val="decimal"/>
      <w:lvlText w:val="%1."/>
      <w:lvlJc w:val="left"/>
      <w:pPr>
        <w:ind w:left="720" w:hanging="360"/>
      </w:pPr>
      <w:rPr>
        <w:rFonts w:cs="Times New Roman" w:hint="default"/>
        <w:b w:val="0"/>
      </w:rPr>
    </w:lvl>
    <w:lvl w:ilvl="1" w:tplc="48BE2656">
      <w:start w:val="1"/>
      <w:numFmt w:val="lowerLetter"/>
      <w:lvlText w:val="%2."/>
      <w:lvlJc w:val="left"/>
      <w:pPr>
        <w:ind w:left="1440" w:hanging="360"/>
      </w:pPr>
      <w:rPr>
        <w:rFonts w:cs="Times New Roman"/>
      </w:rPr>
    </w:lvl>
    <w:lvl w:ilvl="2" w:tplc="3B5EE9BE" w:tentative="1">
      <w:start w:val="1"/>
      <w:numFmt w:val="lowerRoman"/>
      <w:lvlText w:val="%3."/>
      <w:lvlJc w:val="right"/>
      <w:pPr>
        <w:ind w:left="2160" w:hanging="180"/>
      </w:pPr>
      <w:rPr>
        <w:rFonts w:cs="Times New Roman"/>
      </w:rPr>
    </w:lvl>
    <w:lvl w:ilvl="3" w:tplc="E2FC86CC" w:tentative="1">
      <w:start w:val="1"/>
      <w:numFmt w:val="decimal"/>
      <w:lvlText w:val="%4."/>
      <w:lvlJc w:val="left"/>
      <w:pPr>
        <w:ind w:left="2880" w:hanging="360"/>
      </w:pPr>
      <w:rPr>
        <w:rFonts w:cs="Times New Roman"/>
      </w:rPr>
    </w:lvl>
    <w:lvl w:ilvl="4" w:tplc="A410871C" w:tentative="1">
      <w:start w:val="1"/>
      <w:numFmt w:val="lowerLetter"/>
      <w:lvlText w:val="%5."/>
      <w:lvlJc w:val="left"/>
      <w:pPr>
        <w:ind w:left="3600" w:hanging="360"/>
      </w:pPr>
      <w:rPr>
        <w:rFonts w:cs="Times New Roman"/>
      </w:rPr>
    </w:lvl>
    <w:lvl w:ilvl="5" w:tplc="D5D4DD88" w:tentative="1">
      <w:start w:val="1"/>
      <w:numFmt w:val="lowerRoman"/>
      <w:lvlText w:val="%6."/>
      <w:lvlJc w:val="right"/>
      <w:pPr>
        <w:ind w:left="4320" w:hanging="180"/>
      </w:pPr>
      <w:rPr>
        <w:rFonts w:cs="Times New Roman"/>
      </w:rPr>
    </w:lvl>
    <w:lvl w:ilvl="6" w:tplc="552A9BFC" w:tentative="1">
      <w:start w:val="1"/>
      <w:numFmt w:val="decimal"/>
      <w:lvlText w:val="%7."/>
      <w:lvlJc w:val="left"/>
      <w:pPr>
        <w:ind w:left="5040" w:hanging="360"/>
      </w:pPr>
      <w:rPr>
        <w:rFonts w:cs="Times New Roman"/>
      </w:rPr>
    </w:lvl>
    <w:lvl w:ilvl="7" w:tplc="828CAD9E" w:tentative="1">
      <w:start w:val="1"/>
      <w:numFmt w:val="lowerLetter"/>
      <w:lvlText w:val="%8."/>
      <w:lvlJc w:val="left"/>
      <w:pPr>
        <w:ind w:left="5760" w:hanging="360"/>
      </w:pPr>
      <w:rPr>
        <w:rFonts w:cs="Times New Roman"/>
      </w:rPr>
    </w:lvl>
    <w:lvl w:ilvl="8" w:tplc="008E886A" w:tentative="1">
      <w:start w:val="1"/>
      <w:numFmt w:val="lowerRoman"/>
      <w:lvlText w:val="%9."/>
      <w:lvlJc w:val="right"/>
      <w:pPr>
        <w:ind w:left="6480" w:hanging="180"/>
      </w:pPr>
      <w:rPr>
        <w:rFonts w:cs="Times New Roman"/>
      </w:rPr>
    </w:lvl>
  </w:abstractNum>
  <w:abstractNum w:abstractNumId="5" w15:restartNumberingAfterBreak="0">
    <w:nsid w:val="319615AE"/>
    <w:multiLevelType w:val="hybridMultilevel"/>
    <w:tmpl w:val="ABDEE150"/>
    <w:lvl w:ilvl="0" w:tplc="AEE870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E0A23"/>
    <w:multiLevelType w:val="hybridMultilevel"/>
    <w:tmpl w:val="0414C798"/>
    <w:lvl w:ilvl="0" w:tplc="0809000F">
      <w:start w:val="1"/>
      <w:numFmt w:val="bullet"/>
      <w:lvlText w:val=""/>
      <w:lvlJc w:val="left"/>
      <w:pPr>
        <w:ind w:left="1429" w:hanging="360"/>
      </w:pPr>
      <w:rPr>
        <w:rFonts w:ascii="Symbol" w:hAnsi="Symbol"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abstractNum w:abstractNumId="7" w15:restartNumberingAfterBreak="0">
    <w:nsid w:val="3A202383"/>
    <w:multiLevelType w:val="hybridMultilevel"/>
    <w:tmpl w:val="003090CE"/>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8" w15:restartNumberingAfterBreak="0">
    <w:nsid w:val="3CF36EB0"/>
    <w:multiLevelType w:val="hybridMultilevel"/>
    <w:tmpl w:val="570CE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D505D"/>
    <w:multiLevelType w:val="hybridMultilevel"/>
    <w:tmpl w:val="6882BEFC"/>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4C4A74C5"/>
    <w:multiLevelType w:val="hybridMultilevel"/>
    <w:tmpl w:val="A560BCE2"/>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15:restartNumberingAfterBreak="0">
    <w:nsid w:val="4C7266C9"/>
    <w:multiLevelType w:val="multilevel"/>
    <w:tmpl w:val="45A8BED4"/>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1A31704"/>
    <w:multiLevelType w:val="hybridMultilevel"/>
    <w:tmpl w:val="9F30737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E65249"/>
    <w:multiLevelType w:val="multilevel"/>
    <w:tmpl w:val="E5C0A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02CD1"/>
    <w:multiLevelType w:val="hybridMultilevel"/>
    <w:tmpl w:val="23D029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F473F"/>
    <w:multiLevelType w:val="multilevel"/>
    <w:tmpl w:val="991089DC"/>
    <w:lvl w:ilvl="0">
      <w:start w:val="1"/>
      <w:numFmt w:val="decimal"/>
      <w:pStyle w:val="numberedagenda"/>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newbul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433424"/>
    <w:multiLevelType w:val="hybridMultilevel"/>
    <w:tmpl w:val="82C8B7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7F0220"/>
    <w:multiLevelType w:val="hybridMultilevel"/>
    <w:tmpl w:val="6A106296"/>
    <w:lvl w:ilvl="0" w:tplc="289E7D8C">
      <w:start w:val="1"/>
      <w:numFmt w:val="decimal"/>
      <w:lvlText w:val="%1."/>
      <w:lvlJc w:val="left"/>
      <w:pPr>
        <w:ind w:left="1429" w:hanging="360"/>
      </w:pPr>
    </w:lvl>
    <w:lvl w:ilvl="1" w:tplc="EE00360C" w:tentative="1">
      <w:start w:val="1"/>
      <w:numFmt w:val="lowerLetter"/>
      <w:lvlText w:val="%2."/>
      <w:lvlJc w:val="left"/>
      <w:pPr>
        <w:ind w:left="2149" w:hanging="360"/>
      </w:pPr>
    </w:lvl>
    <w:lvl w:ilvl="2" w:tplc="B1F46F6A" w:tentative="1">
      <w:start w:val="1"/>
      <w:numFmt w:val="lowerRoman"/>
      <w:lvlText w:val="%3."/>
      <w:lvlJc w:val="right"/>
      <w:pPr>
        <w:ind w:left="2869" w:hanging="180"/>
      </w:pPr>
    </w:lvl>
    <w:lvl w:ilvl="3" w:tplc="BBEE4A74" w:tentative="1">
      <w:start w:val="1"/>
      <w:numFmt w:val="decimal"/>
      <w:lvlText w:val="%4."/>
      <w:lvlJc w:val="left"/>
      <w:pPr>
        <w:ind w:left="3589" w:hanging="360"/>
      </w:pPr>
    </w:lvl>
    <w:lvl w:ilvl="4" w:tplc="AB6002DE" w:tentative="1">
      <w:start w:val="1"/>
      <w:numFmt w:val="lowerLetter"/>
      <w:lvlText w:val="%5."/>
      <w:lvlJc w:val="left"/>
      <w:pPr>
        <w:ind w:left="4309" w:hanging="360"/>
      </w:pPr>
    </w:lvl>
    <w:lvl w:ilvl="5" w:tplc="661E21D6" w:tentative="1">
      <w:start w:val="1"/>
      <w:numFmt w:val="lowerRoman"/>
      <w:lvlText w:val="%6."/>
      <w:lvlJc w:val="right"/>
      <w:pPr>
        <w:ind w:left="5029" w:hanging="180"/>
      </w:pPr>
    </w:lvl>
    <w:lvl w:ilvl="6" w:tplc="51823C4E" w:tentative="1">
      <w:start w:val="1"/>
      <w:numFmt w:val="decimal"/>
      <w:lvlText w:val="%7."/>
      <w:lvlJc w:val="left"/>
      <w:pPr>
        <w:ind w:left="5749" w:hanging="360"/>
      </w:pPr>
    </w:lvl>
    <w:lvl w:ilvl="7" w:tplc="D216148A" w:tentative="1">
      <w:start w:val="1"/>
      <w:numFmt w:val="lowerLetter"/>
      <w:lvlText w:val="%8."/>
      <w:lvlJc w:val="left"/>
      <w:pPr>
        <w:ind w:left="6469" w:hanging="360"/>
      </w:pPr>
    </w:lvl>
    <w:lvl w:ilvl="8" w:tplc="518E0E72" w:tentative="1">
      <w:start w:val="1"/>
      <w:numFmt w:val="lowerRoman"/>
      <w:lvlText w:val="%9."/>
      <w:lvlJc w:val="right"/>
      <w:pPr>
        <w:ind w:left="7189" w:hanging="180"/>
      </w:pPr>
    </w:lvl>
  </w:abstractNum>
  <w:abstractNum w:abstractNumId="18" w15:restartNumberingAfterBreak="0">
    <w:nsid w:val="72154DF1"/>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244E79"/>
    <w:multiLevelType w:val="hybridMultilevel"/>
    <w:tmpl w:val="72E0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646BE"/>
    <w:multiLevelType w:val="hybridMultilevel"/>
    <w:tmpl w:val="6B0C4204"/>
    <w:lvl w:ilvl="0" w:tplc="066836B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D05C83"/>
    <w:multiLevelType w:val="hybridMultilevel"/>
    <w:tmpl w:val="907AF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7"/>
  </w:num>
  <w:num w:numId="3">
    <w:abstractNumId w:val="6"/>
  </w:num>
  <w:num w:numId="4">
    <w:abstractNumId w:val="7"/>
  </w:num>
  <w:num w:numId="5">
    <w:abstractNumId w:val="21"/>
  </w:num>
  <w:num w:numId="6">
    <w:abstractNumId w:val="4"/>
  </w:num>
  <w:num w:numId="7">
    <w:abstractNumId w:val="11"/>
  </w:num>
  <w:num w:numId="8">
    <w:abstractNumId w:val="18"/>
  </w:num>
  <w:num w:numId="9">
    <w:abstractNumId w:val="15"/>
  </w:num>
  <w:num w:numId="10">
    <w:abstractNumId w:val="9"/>
  </w:num>
  <w:num w:numId="11">
    <w:abstractNumId w:val="5"/>
  </w:num>
  <w:num w:numId="12">
    <w:abstractNumId w:val="20"/>
  </w:num>
  <w:num w:numId="13">
    <w:abstractNumId w:val="1"/>
  </w:num>
  <w:num w:numId="14">
    <w:abstractNumId w:val="8"/>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16"/>
  </w:num>
  <w:num w:numId="20">
    <w:abstractNumId w:val="13"/>
  </w:num>
  <w:num w:numId="21">
    <w:abstractNumId w:val="0"/>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E1"/>
    <w:rsid w:val="00017992"/>
    <w:rsid w:val="000225C7"/>
    <w:rsid w:val="000235C0"/>
    <w:rsid w:val="000239C5"/>
    <w:rsid w:val="0002547D"/>
    <w:rsid w:val="000375A4"/>
    <w:rsid w:val="000458B0"/>
    <w:rsid w:val="00046918"/>
    <w:rsid w:val="00086551"/>
    <w:rsid w:val="000901A1"/>
    <w:rsid w:val="000964C2"/>
    <w:rsid w:val="000A42EB"/>
    <w:rsid w:val="000C640A"/>
    <w:rsid w:val="000D25DB"/>
    <w:rsid w:val="000D2EB5"/>
    <w:rsid w:val="000D6EE9"/>
    <w:rsid w:val="000D7C24"/>
    <w:rsid w:val="000E3607"/>
    <w:rsid w:val="000E4884"/>
    <w:rsid w:val="000E7B5D"/>
    <w:rsid w:val="000F182C"/>
    <w:rsid w:val="000F6470"/>
    <w:rsid w:val="00123235"/>
    <w:rsid w:val="00126EC8"/>
    <w:rsid w:val="00166DDF"/>
    <w:rsid w:val="00170581"/>
    <w:rsid w:val="00172835"/>
    <w:rsid w:val="00177426"/>
    <w:rsid w:val="001803DF"/>
    <w:rsid w:val="00191244"/>
    <w:rsid w:val="0019330D"/>
    <w:rsid w:val="001B1559"/>
    <w:rsid w:val="00204544"/>
    <w:rsid w:val="00205B4A"/>
    <w:rsid w:val="002071BE"/>
    <w:rsid w:val="00216625"/>
    <w:rsid w:val="0023148D"/>
    <w:rsid w:val="002372AF"/>
    <w:rsid w:val="002939BD"/>
    <w:rsid w:val="002A09EC"/>
    <w:rsid w:val="002B1E78"/>
    <w:rsid w:val="002E0D56"/>
    <w:rsid w:val="002F4C41"/>
    <w:rsid w:val="00305C0B"/>
    <w:rsid w:val="00331396"/>
    <w:rsid w:val="00360420"/>
    <w:rsid w:val="00365617"/>
    <w:rsid w:val="00376F11"/>
    <w:rsid w:val="00394875"/>
    <w:rsid w:val="003B249A"/>
    <w:rsid w:val="003F37F0"/>
    <w:rsid w:val="003F5874"/>
    <w:rsid w:val="00424D47"/>
    <w:rsid w:val="0043003E"/>
    <w:rsid w:val="00433262"/>
    <w:rsid w:val="00475D97"/>
    <w:rsid w:val="00493E13"/>
    <w:rsid w:val="004D1D31"/>
    <w:rsid w:val="004F2D76"/>
    <w:rsid w:val="004F69DE"/>
    <w:rsid w:val="004F6D92"/>
    <w:rsid w:val="00516AC9"/>
    <w:rsid w:val="00523B01"/>
    <w:rsid w:val="00531489"/>
    <w:rsid w:val="00557452"/>
    <w:rsid w:val="00560D2F"/>
    <w:rsid w:val="00566C2F"/>
    <w:rsid w:val="005679C8"/>
    <w:rsid w:val="005878BA"/>
    <w:rsid w:val="00592FA8"/>
    <w:rsid w:val="005A33E3"/>
    <w:rsid w:val="005B2D4C"/>
    <w:rsid w:val="005C74E0"/>
    <w:rsid w:val="006009FD"/>
    <w:rsid w:val="00600E9A"/>
    <w:rsid w:val="00622175"/>
    <w:rsid w:val="00630DE5"/>
    <w:rsid w:val="006410A8"/>
    <w:rsid w:val="00662F98"/>
    <w:rsid w:val="00676C16"/>
    <w:rsid w:val="00677047"/>
    <w:rsid w:val="00683AF0"/>
    <w:rsid w:val="006A502C"/>
    <w:rsid w:val="006B0A7A"/>
    <w:rsid w:val="006B2585"/>
    <w:rsid w:val="006C7CE1"/>
    <w:rsid w:val="006D292E"/>
    <w:rsid w:val="006D36EB"/>
    <w:rsid w:val="006E174B"/>
    <w:rsid w:val="006F08B6"/>
    <w:rsid w:val="006F304A"/>
    <w:rsid w:val="00720898"/>
    <w:rsid w:val="00747D52"/>
    <w:rsid w:val="007568DB"/>
    <w:rsid w:val="007A02B6"/>
    <w:rsid w:val="007D4A53"/>
    <w:rsid w:val="007E1913"/>
    <w:rsid w:val="007F3C2C"/>
    <w:rsid w:val="007F5BD2"/>
    <w:rsid w:val="008013C9"/>
    <w:rsid w:val="00811414"/>
    <w:rsid w:val="008302B2"/>
    <w:rsid w:val="00855ACE"/>
    <w:rsid w:val="00861528"/>
    <w:rsid w:val="00864D6C"/>
    <w:rsid w:val="00876026"/>
    <w:rsid w:val="00896F1F"/>
    <w:rsid w:val="008A5983"/>
    <w:rsid w:val="008C2168"/>
    <w:rsid w:val="008C50E2"/>
    <w:rsid w:val="008D14C5"/>
    <w:rsid w:val="009012A2"/>
    <w:rsid w:val="009136FD"/>
    <w:rsid w:val="009556B0"/>
    <w:rsid w:val="009902BE"/>
    <w:rsid w:val="00993FCD"/>
    <w:rsid w:val="00994B55"/>
    <w:rsid w:val="009A7512"/>
    <w:rsid w:val="009C64C0"/>
    <w:rsid w:val="009D3AB3"/>
    <w:rsid w:val="009E23AE"/>
    <w:rsid w:val="009E30C2"/>
    <w:rsid w:val="009E6999"/>
    <w:rsid w:val="00A143D7"/>
    <w:rsid w:val="00A438BF"/>
    <w:rsid w:val="00A83588"/>
    <w:rsid w:val="00A87B1D"/>
    <w:rsid w:val="00AA35F6"/>
    <w:rsid w:val="00AA3AF8"/>
    <w:rsid w:val="00AB43EC"/>
    <w:rsid w:val="00AC45CB"/>
    <w:rsid w:val="00AD4271"/>
    <w:rsid w:val="00AF28AE"/>
    <w:rsid w:val="00AF5399"/>
    <w:rsid w:val="00B01A8E"/>
    <w:rsid w:val="00B04C43"/>
    <w:rsid w:val="00B1243D"/>
    <w:rsid w:val="00B41314"/>
    <w:rsid w:val="00B41810"/>
    <w:rsid w:val="00B640B7"/>
    <w:rsid w:val="00B651EF"/>
    <w:rsid w:val="00B65AE5"/>
    <w:rsid w:val="00B71A61"/>
    <w:rsid w:val="00B7534D"/>
    <w:rsid w:val="00B82917"/>
    <w:rsid w:val="00B95DBA"/>
    <w:rsid w:val="00B97628"/>
    <w:rsid w:val="00BA4201"/>
    <w:rsid w:val="00BA6014"/>
    <w:rsid w:val="00BB0B8B"/>
    <w:rsid w:val="00BC7844"/>
    <w:rsid w:val="00C0145A"/>
    <w:rsid w:val="00C4071F"/>
    <w:rsid w:val="00C60BD2"/>
    <w:rsid w:val="00C7627A"/>
    <w:rsid w:val="00C8455B"/>
    <w:rsid w:val="00CA4F64"/>
    <w:rsid w:val="00CB6CD5"/>
    <w:rsid w:val="00CB7CFA"/>
    <w:rsid w:val="00D13CCD"/>
    <w:rsid w:val="00D14594"/>
    <w:rsid w:val="00D22FD1"/>
    <w:rsid w:val="00D340EC"/>
    <w:rsid w:val="00D43CE2"/>
    <w:rsid w:val="00D51521"/>
    <w:rsid w:val="00D75A42"/>
    <w:rsid w:val="00D82B4C"/>
    <w:rsid w:val="00DB1953"/>
    <w:rsid w:val="00DE6DF8"/>
    <w:rsid w:val="00E31CE2"/>
    <w:rsid w:val="00E45691"/>
    <w:rsid w:val="00E57E1C"/>
    <w:rsid w:val="00E57FD8"/>
    <w:rsid w:val="00EA5106"/>
    <w:rsid w:val="00EB3FBE"/>
    <w:rsid w:val="00EC4E4D"/>
    <w:rsid w:val="00F05471"/>
    <w:rsid w:val="00F24780"/>
    <w:rsid w:val="00F253C9"/>
    <w:rsid w:val="00F31AA5"/>
    <w:rsid w:val="00F328FA"/>
    <w:rsid w:val="00F50A0B"/>
    <w:rsid w:val="00F87C09"/>
    <w:rsid w:val="00F9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813E"/>
  <w15:docId w15:val="{DF6888A6-A396-46AF-A7CB-22E71A64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2F98"/>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B25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98"/>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662F98"/>
    <w:pPr>
      <w:ind w:left="720"/>
      <w:contextualSpacing/>
    </w:pPr>
  </w:style>
  <w:style w:type="paragraph" w:styleId="Header">
    <w:name w:val="header"/>
    <w:basedOn w:val="Normal"/>
    <w:link w:val="HeaderChar"/>
    <w:uiPriority w:val="99"/>
    <w:unhideWhenUsed/>
    <w:rsid w:val="007A0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2B6"/>
  </w:style>
  <w:style w:type="paragraph" w:styleId="Footer">
    <w:name w:val="footer"/>
    <w:basedOn w:val="Normal"/>
    <w:link w:val="FooterChar"/>
    <w:uiPriority w:val="99"/>
    <w:unhideWhenUsed/>
    <w:rsid w:val="007A0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2B6"/>
  </w:style>
  <w:style w:type="paragraph" w:styleId="BalloonText">
    <w:name w:val="Balloon Text"/>
    <w:basedOn w:val="Normal"/>
    <w:link w:val="BalloonTextChar"/>
    <w:uiPriority w:val="99"/>
    <w:semiHidden/>
    <w:unhideWhenUsed/>
    <w:rsid w:val="000F1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82C"/>
    <w:rPr>
      <w:rFonts w:ascii="Tahoma" w:hAnsi="Tahoma" w:cs="Tahoma"/>
      <w:sz w:val="16"/>
      <w:szCs w:val="16"/>
    </w:rPr>
  </w:style>
  <w:style w:type="character" w:styleId="Hyperlink">
    <w:name w:val="Hyperlink"/>
    <w:basedOn w:val="DefaultParagraphFont"/>
    <w:uiPriority w:val="99"/>
    <w:unhideWhenUsed/>
    <w:rsid w:val="007F5BD2"/>
    <w:rPr>
      <w:rFonts w:cs="Times New Roman"/>
      <w:color w:val="0000FF" w:themeColor="hyperlink"/>
      <w:u w:val="single"/>
    </w:rPr>
  </w:style>
  <w:style w:type="paragraph" w:styleId="NoSpacing">
    <w:name w:val="No Spacing"/>
    <w:uiPriority w:val="1"/>
    <w:qFormat/>
    <w:rsid w:val="002F4C41"/>
    <w:pPr>
      <w:spacing w:after="0" w:line="240" w:lineRule="auto"/>
    </w:pPr>
    <w:rPr>
      <w:rFonts w:ascii="Calibri" w:eastAsiaTheme="minorHAnsi" w:hAnsi="Calibri" w:cs="Times New Roman"/>
    </w:rPr>
  </w:style>
  <w:style w:type="table" w:styleId="TableGrid">
    <w:name w:val="Table Grid"/>
    <w:basedOn w:val="TableNormal"/>
    <w:uiPriority w:val="59"/>
    <w:rsid w:val="00E456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45691"/>
    <w:pPr>
      <w:numPr>
        <w:numId w:val="8"/>
      </w:numPr>
    </w:pPr>
  </w:style>
  <w:style w:type="paragraph" w:customStyle="1" w:styleId="newbull">
    <w:name w:val="new bull"/>
    <w:basedOn w:val="ListParagraph"/>
    <w:qFormat/>
    <w:rsid w:val="00747D52"/>
    <w:pPr>
      <w:numPr>
        <w:ilvl w:val="6"/>
        <w:numId w:val="9"/>
      </w:numPr>
      <w:spacing w:after="0" w:line="240" w:lineRule="auto"/>
      <w:ind w:left="335" w:hanging="342"/>
      <w:contextualSpacing w:val="0"/>
    </w:pPr>
    <w:rPr>
      <w:rFonts w:eastAsiaTheme="minorHAnsi"/>
      <w:lang w:eastAsia="en-US"/>
    </w:rPr>
  </w:style>
  <w:style w:type="character" w:styleId="CommentReference">
    <w:name w:val="annotation reference"/>
    <w:basedOn w:val="DefaultParagraphFont"/>
    <w:uiPriority w:val="99"/>
    <w:semiHidden/>
    <w:unhideWhenUsed/>
    <w:rsid w:val="000901A1"/>
    <w:rPr>
      <w:sz w:val="16"/>
      <w:szCs w:val="16"/>
    </w:rPr>
  </w:style>
  <w:style w:type="paragraph" w:styleId="CommentText">
    <w:name w:val="annotation text"/>
    <w:basedOn w:val="Normal"/>
    <w:link w:val="CommentTextChar"/>
    <w:uiPriority w:val="99"/>
    <w:semiHidden/>
    <w:unhideWhenUsed/>
    <w:rsid w:val="000901A1"/>
    <w:pPr>
      <w:spacing w:line="240" w:lineRule="auto"/>
    </w:pPr>
    <w:rPr>
      <w:sz w:val="20"/>
      <w:szCs w:val="20"/>
    </w:rPr>
  </w:style>
  <w:style w:type="character" w:customStyle="1" w:styleId="CommentTextChar">
    <w:name w:val="Comment Text Char"/>
    <w:basedOn w:val="DefaultParagraphFont"/>
    <w:link w:val="CommentText"/>
    <w:uiPriority w:val="99"/>
    <w:semiHidden/>
    <w:rsid w:val="000901A1"/>
    <w:rPr>
      <w:sz w:val="20"/>
      <w:szCs w:val="20"/>
    </w:rPr>
  </w:style>
  <w:style w:type="paragraph" w:styleId="CommentSubject">
    <w:name w:val="annotation subject"/>
    <w:basedOn w:val="CommentText"/>
    <w:next w:val="CommentText"/>
    <w:link w:val="CommentSubjectChar"/>
    <w:uiPriority w:val="99"/>
    <w:semiHidden/>
    <w:unhideWhenUsed/>
    <w:rsid w:val="000901A1"/>
    <w:rPr>
      <w:b/>
      <w:bCs/>
    </w:rPr>
  </w:style>
  <w:style w:type="character" w:customStyle="1" w:styleId="CommentSubjectChar">
    <w:name w:val="Comment Subject Char"/>
    <w:basedOn w:val="CommentTextChar"/>
    <w:link w:val="CommentSubject"/>
    <w:uiPriority w:val="99"/>
    <w:semiHidden/>
    <w:rsid w:val="000901A1"/>
    <w:rPr>
      <w:b/>
      <w:bCs/>
      <w:sz w:val="20"/>
      <w:szCs w:val="20"/>
    </w:rPr>
  </w:style>
  <w:style w:type="paragraph" w:customStyle="1" w:styleId="numberedagenda">
    <w:name w:val="numbered agenda"/>
    <w:basedOn w:val="ListParagraph"/>
    <w:uiPriority w:val="99"/>
    <w:qFormat/>
    <w:rsid w:val="00CA4F64"/>
    <w:pPr>
      <w:numPr>
        <w:numId w:val="9"/>
      </w:numPr>
      <w:spacing w:after="0"/>
    </w:pPr>
    <w:rPr>
      <w:rFonts w:eastAsiaTheme="minorHAnsi"/>
      <w:sz w:val="24"/>
      <w:szCs w:val="24"/>
      <w:lang w:eastAsia="en-US"/>
    </w:rPr>
  </w:style>
  <w:style w:type="character" w:customStyle="1" w:styleId="Heading2Char">
    <w:name w:val="Heading 2 Char"/>
    <w:basedOn w:val="DefaultParagraphFont"/>
    <w:link w:val="Heading2"/>
    <w:uiPriority w:val="9"/>
    <w:semiHidden/>
    <w:rsid w:val="006B2585"/>
    <w:rPr>
      <w:rFonts w:asciiTheme="majorHAnsi" w:eastAsiaTheme="majorEastAsia" w:hAnsiTheme="majorHAnsi" w:cstheme="majorBidi"/>
      <w:color w:val="365F91" w:themeColor="accent1" w:themeShade="BF"/>
      <w:sz w:val="26"/>
      <w:szCs w:val="26"/>
    </w:rPr>
  </w:style>
  <w:style w:type="character" w:customStyle="1" w:styleId="searchresults-contenttitlesub">
    <w:name w:val="search__results-content__title__sub"/>
    <w:basedOn w:val="DefaultParagraphFont"/>
    <w:rsid w:val="006B2585"/>
  </w:style>
  <w:style w:type="character" w:customStyle="1" w:styleId="icontext--free">
    <w:name w:val="icon__text--free"/>
    <w:basedOn w:val="DefaultParagraphFont"/>
    <w:rsid w:val="006B2585"/>
  </w:style>
  <w:style w:type="character" w:customStyle="1" w:styleId="maintitle">
    <w:name w:val="maintitle"/>
    <w:basedOn w:val="DefaultParagraphFont"/>
    <w:rsid w:val="006B2585"/>
  </w:style>
  <w:style w:type="paragraph" w:customStyle="1" w:styleId="refbull">
    <w:name w:val="refbull"/>
    <w:basedOn w:val="newbull"/>
    <w:qFormat/>
    <w:rsid w:val="006B2585"/>
    <w:pPr>
      <w:numPr>
        <w:numId w:val="22"/>
      </w:numPr>
      <w:spacing w:after="240"/>
      <w:ind w:left="459" w:hanging="283"/>
    </w:pPr>
    <w:rPr>
      <w:lang w:val="en"/>
    </w:rPr>
  </w:style>
  <w:style w:type="character" w:customStyle="1" w:styleId="apple-converted-space">
    <w:name w:val="apple-converted-space"/>
    <w:basedOn w:val="DefaultParagraphFont"/>
    <w:rsid w:val="00D51521"/>
  </w:style>
  <w:style w:type="character" w:customStyle="1" w:styleId="ListParagraphChar">
    <w:name w:val="List Paragraph Char"/>
    <w:basedOn w:val="DefaultParagraphFont"/>
    <w:link w:val="ListParagraph"/>
    <w:uiPriority w:val="34"/>
    <w:rsid w:val="00DB1953"/>
  </w:style>
  <w:style w:type="table" w:customStyle="1" w:styleId="actiontable">
    <w:name w:val="action table"/>
    <w:basedOn w:val="TableNormal"/>
    <w:uiPriority w:val="99"/>
    <w:rsid w:val="00376F11"/>
    <w:pPr>
      <w:spacing w:after="0" w:line="240" w:lineRule="auto"/>
    </w:pPr>
    <w:tblPr/>
  </w:style>
  <w:style w:type="table" w:customStyle="1" w:styleId="Style2">
    <w:name w:val="Style2"/>
    <w:basedOn w:val="TableNormal"/>
    <w:uiPriority w:val="99"/>
    <w:rsid w:val="00376F1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7806">
      <w:bodyDiv w:val="1"/>
      <w:marLeft w:val="0"/>
      <w:marRight w:val="0"/>
      <w:marTop w:val="0"/>
      <w:marBottom w:val="0"/>
      <w:divBdr>
        <w:top w:val="none" w:sz="0" w:space="0" w:color="auto"/>
        <w:left w:val="none" w:sz="0" w:space="0" w:color="auto"/>
        <w:bottom w:val="none" w:sz="0" w:space="0" w:color="auto"/>
        <w:right w:val="none" w:sz="0" w:space="0" w:color="auto"/>
      </w:divBdr>
    </w:div>
    <w:div w:id="251865806">
      <w:bodyDiv w:val="1"/>
      <w:marLeft w:val="0"/>
      <w:marRight w:val="0"/>
      <w:marTop w:val="0"/>
      <w:marBottom w:val="0"/>
      <w:divBdr>
        <w:top w:val="none" w:sz="0" w:space="0" w:color="auto"/>
        <w:left w:val="none" w:sz="0" w:space="0" w:color="auto"/>
        <w:bottom w:val="none" w:sz="0" w:space="0" w:color="auto"/>
        <w:right w:val="none" w:sz="0" w:space="0" w:color="auto"/>
      </w:divBdr>
    </w:div>
    <w:div w:id="308753704">
      <w:bodyDiv w:val="1"/>
      <w:marLeft w:val="0"/>
      <w:marRight w:val="0"/>
      <w:marTop w:val="0"/>
      <w:marBottom w:val="0"/>
      <w:divBdr>
        <w:top w:val="none" w:sz="0" w:space="0" w:color="auto"/>
        <w:left w:val="none" w:sz="0" w:space="0" w:color="auto"/>
        <w:bottom w:val="none" w:sz="0" w:space="0" w:color="auto"/>
        <w:right w:val="none" w:sz="0" w:space="0" w:color="auto"/>
      </w:divBdr>
    </w:div>
    <w:div w:id="361630422">
      <w:bodyDiv w:val="1"/>
      <w:marLeft w:val="0"/>
      <w:marRight w:val="0"/>
      <w:marTop w:val="0"/>
      <w:marBottom w:val="0"/>
      <w:divBdr>
        <w:top w:val="none" w:sz="0" w:space="0" w:color="auto"/>
        <w:left w:val="none" w:sz="0" w:space="0" w:color="auto"/>
        <w:bottom w:val="none" w:sz="0" w:space="0" w:color="auto"/>
        <w:right w:val="none" w:sz="0" w:space="0" w:color="auto"/>
      </w:divBdr>
    </w:div>
    <w:div w:id="483201664">
      <w:bodyDiv w:val="1"/>
      <w:marLeft w:val="0"/>
      <w:marRight w:val="0"/>
      <w:marTop w:val="0"/>
      <w:marBottom w:val="0"/>
      <w:divBdr>
        <w:top w:val="none" w:sz="0" w:space="0" w:color="auto"/>
        <w:left w:val="none" w:sz="0" w:space="0" w:color="auto"/>
        <w:bottom w:val="none" w:sz="0" w:space="0" w:color="auto"/>
        <w:right w:val="none" w:sz="0" w:space="0" w:color="auto"/>
      </w:divBdr>
    </w:div>
    <w:div w:id="1089421732">
      <w:bodyDiv w:val="1"/>
      <w:marLeft w:val="0"/>
      <w:marRight w:val="0"/>
      <w:marTop w:val="0"/>
      <w:marBottom w:val="0"/>
      <w:divBdr>
        <w:top w:val="none" w:sz="0" w:space="0" w:color="auto"/>
        <w:left w:val="none" w:sz="0" w:space="0" w:color="auto"/>
        <w:bottom w:val="none" w:sz="0" w:space="0" w:color="auto"/>
        <w:right w:val="none" w:sz="0" w:space="0" w:color="auto"/>
      </w:divBdr>
    </w:div>
    <w:div w:id="1179851130">
      <w:bodyDiv w:val="1"/>
      <w:marLeft w:val="0"/>
      <w:marRight w:val="0"/>
      <w:marTop w:val="0"/>
      <w:marBottom w:val="0"/>
      <w:divBdr>
        <w:top w:val="none" w:sz="0" w:space="0" w:color="auto"/>
        <w:left w:val="none" w:sz="0" w:space="0" w:color="auto"/>
        <w:bottom w:val="none" w:sz="0" w:space="0" w:color="auto"/>
        <w:right w:val="none" w:sz="0" w:space="0" w:color="auto"/>
      </w:divBdr>
    </w:div>
    <w:div w:id="1597060756">
      <w:bodyDiv w:val="1"/>
      <w:marLeft w:val="0"/>
      <w:marRight w:val="0"/>
      <w:marTop w:val="0"/>
      <w:marBottom w:val="0"/>
      <w:divBdr>
        <w:top w:val="none" w:sz="0" w:space="0" w:color="auto"/>
        <w:left w:val="none" w:sz="0" w:space="0" w:color="auto"/>
        <w:bottom w:val="none" w:sz="0" w:space="0" w:color="auto"/>
        <w:right w:val="none" w:sz="0" w:space="0" w:color="auto"/>
      </w:divBdr>
    </w:div>
    <w:div w:id="1817603452">
      <w:bodyDiv w:val="1"/>
      <w:marLeft w:val="0"/>
      <w:marRight w:val="0"/>
      <w:marTop w:val="0"/>
      <w:marBottom w:val="0"/>
      <w:divBdr>
        <w:top w:val="none" w:sz="0" w:space="0" w:color="auto"/>
        <w:left w:val="none" w:sz="0" w:space="0" w:color="auto"/>
        <w:bottom w:val="none" w:sz="0" w:space="0" w:color="auto"/>
        <w:right w:val="none" w:sz="0" w:space="0" w:color="auto"/>
      </w:divBdr>
    </w:div>
    <w:div w:id="1945113255">
      <w:bodyDiv w:val="1"/>
      <w:marLeft w:val="0"/>
      <w:marRight w:val="0"/>
      <w:marTop w:val="0"/>
      <w:marBottom w:val="0"/>
      <w:divBdr>
        <w:top w:val="none" w:sz="0" w:space="0" w:color="auto"/>
        <w:left w:val="none" w:sz="0" w:space="0" w:color="auto"/>
        <w:bottom w:val="none" w:sz="0" w:space="0" w:color="auto"/>
        <w:right w:val="none" w:sz="0" w:space="0" w:color="auto"/>
      </w:divBdr>
    </w:div>
    <w:div w:id="2065133225">
      <w:bodyDiv w:val="1"/>
      <w:marLeft w:val="0"/>
      <w:marRight w:val="0"/>
      <w:marTop w:val="0"/>
      <w:marBottom w:val="0"/>
      <w:divBdr>
        <w:top w:val="none" w:sz="0" w:space="0" w:color="auto"/>
        <w:left w:val="none" w:sz="0" w:space="0" w:color="auto"/>
        <w:bottom w:val="none" w:sz="0" w:space="0" w:color="auto"/>
        <w:right w:val="none" w:sz="0" w:space="0" w:color="auto"/>
      </w:divBdr>
      <w:divsChild>
        <w:div w:id="1377240154">
          <w:marLeft w:val="0"/>
          <w:marRight w:val="0"/>
          <w:marTop w:val="0"/>
          <w:marBottom w:val="0"/>
          <w:divBdr>
            <w:top w:val="none" w:sz="0" w:space="0" w:color="auto"/>
            <w:left w:val="none" w:sz="0" w:space="0" w:color="auto"/>
            <w:bottom w:val="none" w:sz="0" w:space="0" w:color="auto"/>
            <w:right w:val="none" w:sz="0" w:space="0" w:color="auto"/>
          </w:divBdr>
          <w:divsChild>
            <w:div w:id="537427579">
              <w:marLeft w:val="0"/>
              <w:marRight w:val="0"/>
              <w:marTop w:val="0"/>
              <w:marBottom w:val="0"/>
              <w:divBdr>
                <w:top w:val="none" w:sz="0" w:space="0" w:color="auto"/>
                <w:left w:val="none" w:sz="0" w:space="0" w:color="auto"/>
                <w:bottom w:val="none" w:sz="0" w:space="0" w:color="auto"/>
                <w:right w:val="none" w:sz="0" w:space="0" w:color="auto"/>
              </w:divBdr>
              <w:divsChild>
                <w:div w:id="2122455506">
                  <w:marLeft w:val="0"/>
                  <w:marRight w:val="0"/>
                  <w:marTop w:val="0"/>
                  <w:marBottom w:val="0"/>
                  <w:divBdr>
                    <w:top w:val="none" w:sz="0" w:space="0" w:color="auto"/>
                    <w:left w:val="none" w:sz="0" w:space="0" w:color="auto"/>
                    <w:bottom w:val="none" w:sz="0" w:space="0" w:color="auto"/>
                    <w:right w:val="none" w:sz="0" w:space="0" w:color="auto"/>
                  </w:divBdr>
                  <w:divsChild>
                    <w:div w:id="1409231565">
                      <w:marLeft w:val="0"/>
                      <w:marRight w:val="0"/>
                      <w:marTop w:val="0"/>
                      <w:marBottom w:val="0"/>
                      <w:divBdr>
                        <w:top w:val="none" w:sz="0" w:space="0" w:color="auto"/>
                        <w:left w:val="none" w:sz="0" w:space="0" w:color="auto"/>
                        <w:bottom w:val="none" w:sz="0" w:space="0" w:color="auto"/>
                        <w:right w:val="none" w:sz="0" w:space="0" w:color="auto"/>
                      </w:divBdr>
                      <w:divsChild>
                        <w:div w:id="525216219">
                          <w:marLeft w:val="0"/>
                          <w:marRight w:val="0"/>
                          <w:marTop w:val="0"/>
                          <w:marBottom w:val="0"/>
                          <w:divBdr>
                            <w:top w:val="none" w:sz="0" w:space="0" w:color="auto"/>
                            <w:left w:val="none" w:sz="0" w:space="0" w:color="auto"/>
                            <w:bottom w:val="none" w:sz="0" w:space="0" w:color="auto"/>
                            <w:right w:val="none" w:sz="0" w:space="0" w:color="auto"/>
                          </w:divBdr>
                          <w:divsChild>
                            <w:div w:id="659384898">
                              <w:marLeft w:val="0"/>
                              <w:marRight w:val="0"/>
                              <w:marTop w:val="0"/>
                              <w:marBottom w:val="0"/>
                              <w:divBdr>
                                <w:top w:val="none" w:sz="0" w:space="0" w:color="auto"/>
                                <w:left w:val="none" w:sz="0" w:space="0" w:color="auto"/>
                                <w:bottom w:val="none" w:sz="0" w:space="0" w:color="auto"/>
                                <w:right w:val="none" w:sz="0" w:space="0" w:color="auto"/>
                              </w:divBdr>
                              <w:divsChild>
                                <w:div w:id="9160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B8DC-6078-400F-BC8A-30FBBEE0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Laura Price</cp:lastModifiedBy>
  <cp:revision>6</cp:revision>
  <dcterms:created xsi:type="dcterms:W3CDTF">2017-06-09T07:18:00Z</dcterms:created>
  <dcterms:modified xsi:type="dcterms:W3CDTF">2017-06-12T12:00:00Z</dcterms:modified>
</cp:coreProperties>
</file>